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Override PartName="/word/theme/themeOverride4.xml" ContentType="application/vnd.openxmlformats-officedocument.themeOverride+xml"/>
  <Override PartName="/word/theme/themeOverride5.xml" ContentType="application/vnd.openxmlformats-officedocument.themeOverride+xml"/>
  <Override PartName="/word/theme/themeOverride6.xml" ContentType="application/vnd.openxmlformats-officedocument.themeOverride+xml"/>
  <Override PartName="/word/theme/themeOverride7.xml" ContentType="application/vnd.openxmlformats-officedocument.themeOverride+xml"/>
  <Override PartName="/word/theme/themeOverride8.xml" ContentType="application/vnd.openxmlformats-officedocument.themeOverride+xml"/>
  <Override PartName="/word/theme/themeOverride9.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cs="Times New Roman"/>
          <w:b/>
          <w:sz w:val="44"/>
          <w:szCs w:val="44"/>
        </w:rPr>
      </w:pPr>
    </w:p>
    <w:p>
      <w:pPr>
        <w:jc w:val="center"/>
        <w:rPr>
          <w:rFonts w:hint="default" w:ascii="Times New Roman" w:hAnsi="Times New Roman" w:cs="Times New Roman"/>
          <w:b/>
          <w:sz w:val="44"/>
          <w:szCs w:val="44"/>
        </w:rPr>
      </w:pPr>
    </w:p>
    <w:p>
      <w:pPr>
        <w:jc w:val="center"/>
        <w:rPr>
          <w:rFonts w:hint="default" w:ascii="Times New Roman" w:hAnsi="Times New Roman" w:cs="Times New Roman"/>
          <w:b/>
          <w:sz w:val="44"/>
          <w:szCs w:val="44"/>
        </w:rPr>
      </w:pPr>
    </w:p>
    <w:p>
      <w:pPr>
        <w:jc w:val="center"/>
        <w:rPr>
          <w:rFonts w:hint="default" w:ascii="Times New Roman" w:hAnsi="Times New Roman" w:cs="Times New Roman"/>
          <w:b/>
          <w:sz w:val="44"/>
          <w:szCs w:val="44"/>
        </w:rPr>
      </w:pPr>
    </w:p>
    <w:p>
      <w:pPr>
        <w:widowControl/>
        <w:jc w:val="center"/>
        <w:rPr>
          <w:rFonts w:hint="default" w:ascii="Times New Roman" w:hAnsi="Times New Roman" w:eastAsia="华文中宋" w:cs="Times New Roman"/>
          <w:kern w:val="0"/>
          <w:sz w:val="44"/>
          <w:szCs w:val="44"/>
        </w:rPr>
      </w:pPr>
      <w:r>
        <w:rPr>
          <w:rFonts w:hint="default" w:ascii="Times New Roman" w:hAnsi="Times New Roman" w:eastAsia="华文中宋" w:cs="Times New Roman"/>
          <w:kern w:val="0"/>
          <w:sz w:val="44"/>
          <w:szCs w:val="44"/>
          <w:lang w:eastAsia="zh-CN"/>
        </w:rPr>
        <w:t>吉林省</w:t>
      </w:r>
      <w:r>
        <w:rPr>
          <w:rFonts w:hint="default" w:ascii="Times New Roman" w:hAnsi="Times New Roman" w:eastAsia="华文中宋" w:cs="Times New Roman"/>
          <w:kern w:val="0"/>
          <w:sz w:val="44"/>
          <w:szCs w:val="44"/>
        </w:rPr>
        <w:t>20</w:t>
      </w:r>
      <w:r>
        <w:rPr>
          <w:rFonts w:hint="default" w:ascii="Times New Roman" w:hAnsi="Times New Roman" w:eastAsia="华文中宋" w:cs="Times New Roman"/>
          <w:kern w:val="0"/>
          <w:sz w:val="44"/>
          <w:szCs w:val="44"/>
          <w:lang w:val="en-US" w:eastAsia="zh-CN"/>
        </w:rPr>
        <w:t>22年度污</w:t>
      </w:r>
      <w:r>
        <w:rPr>
          <w:rFonts w:hint="default" w:ascii="Times New Roman" w:hAnsi="Times New Roman" w:eastAsia="华文中宋" w:cs="Times New Roman"/>
          <w:kern w:val="0"/>
          <w:sz w:val="44"/>
          <w:szCs w:val="44"/>
        </w:rPr>
        <w:t>染源</w:t>
      </w:r>
    </w:p>
    <w:p>
      <w:pPr>
        <w:widowControl/>
        <w:jc w:val="center"/>
        <w:rPr>
          <w:rFonts w:hint="default" w:ascii="Times New Roman" w:hAnsi="Times New Roman" w:eastAsia="华文中宋" w:cs="Times New Roman"/>
          <w:kern w:val="0"/>
          <w:sz w:val="44"/>
          <w:szCs w:val="44"/>
        </w:rPr>
      </w:pPr>
      <w:r>
        <w:rPr>
          <w:rFonts w:hint="default" w:ascii="Times New Roman" w:hAnsi="Times New Roman" w:eastAsia="华文中宋" w:cs="Times New Roman"/>
          <w:kern w:val="0"/>
          <w:sz w:val="44"/>
          <w:szCs w:val="44"/>
          <w:lang w:eastAsia="zh-CN"/>
        </w:rPr>
        <w:t>执法</w:t>
      </w:r>
      <w:r>
        <w:rPr>
          <w:rFonts w:hint="default" w:ascii="Times New Roman" w:hAnsi="Times New Roman" w:eastAsia="华文中宋" w:cs="Times New Roman"/>
          <w:kern w:val="0"/>
          <w:sz w:val="44"/>
          <w:szCs w:val="44"/>
        </w:rPr>
        <w:t>监测及比对</w:t>
      </w:r>
      <w:r>
        <w:rPr>
          <w:rFonts w:hint="default" w:ascii="Times New Roman" w:hAnsi="Times New Roman" w:eastAsia="华文中宋" w:cs="Times New Roman"/>
          <w:kern w:val="0"/>
          <w:sz w:val="44"/>
          <w:szCs w:val="44"/>
          <w:lang w:eastAsia="zh-CN"/>
        </w:rPr>
        <w:t>报告</w:t>
      </w:r>
    </w:p>
    <w:p>
      <w:pPr>
        <w:jc w:val="center"/>
        <w:rPr>
          <w:rFonts w:hint="default" w:ascii="Times New Roman" w:hAnsi="Times New Roman" w:eastAsia="华文中宋" w:cs="Times New Roman"/>
          <w:b/>
          <w:sz w:val="44"/>
          <w:szCs w:val="44"/>
        </w:rPr>
      </w:pPr>
    </w:p>
    <w:p>
      <w:pPr>
        <w:jc w:val="center"/>
        <w:rPr>
          <w:rFonts w:hint="default" w:ascii="Times New Roman" w:hAnsi="Times New Roman" w:cs="Times New Roman"/>
          <w:b/>
          <w:sz w:val="44"/>
          <w:szCs w:val="44"/>
        </w:rPr>
      </w:pPr>
    </w:p>
    <w:p>
      <w:pPr>
        <w:jc w:val="center"/>
        <w:rPr>
          <w:rFonts w:hint="default" w:ascii="Times New Roman" w:hAnsi="Times New Roman" w:cs="Times New Roman"/>
          <w:b/>
          <w:sz w:val="44"/>
          <w:szCs w:val="44"/>
        </w:rPr>
      </w:pPr>
    </w:p>
    <w:p>
      <w:pPr>
        <w:jc w:val="center"/>
        <w:rPr>
          <w:rFonts w:hint="default" w:ascii="Times New Roman" w:hAnsi="Times New Roman" w:cs="Times New Roman"/>
          <w:b/>
          <w:sz w:val="44"/>
          <w:szCs w:val="44"/>
        </w:rPr>
      </w:pPr>
    </w:p>
    <w:p>
      <w:pPr>
        <w:jc w:val="center"/>
        <w:rPr>
          <w:rFonts w:hint="default" w:ascii="Times New Roman" w:hAnsi="Times New Roman" w:cs="Times New Roman"/>
          <w:b/>
          <w:sz w:val="44"/>
          <w:szCs w:val="44"/>
        </w:rPr>
      </w:pPr>
    </w:p>
    <w:p>
      <w:pPr>
        <w:jc w:val="center"/>
        <w:rPr>
          <w:rFonts w:hint="default" w:ascii="Times New Roman" w:hAnsi="Times New Roman" w:cs="Times New Roman"/>
          <w:b/>
          <w:sz w:val="44"/>
          <w:szCs w:val="44"/>
        </w:rPr>
      </w:pPr>
    </w:p>
    <w:p>
      <w:pPr>
        <w:jc w:val="center"/>
        <w:rPr>
          <w:rFonts w:hint="default" w:ascii="Times New Roman" w:hAnsi="Times New Roman" w:cs="Times New Roman"/>
          <w:b/>
          <w:sz w:val="44"/>
          <w:szCs w:val="44"/>
        </w:rPr>
      </w:pPr>
    </w:p>
    <w:p>
      <w:pPr>
        <w:jc w:val="center"/>
        <w:rPr>
          <w:rFonts w:hint="default" w:ascii="Times New Roman" w:hAnsi="Times New Roman" w:cs="Times New Roman"/>
          <w:b/>
          <w:sz w:val="44"/>
          <w:szCs w:val="44"/>
        </w:rPr>
      </w:pPr>
    </w:p>
    <w:p>
      <w:pPr>
        <w:jc w:val="center"/>
        <w:rPr>
          <w:rFonts w:hint="default" w:ascii="Times New Roman" w:hAnsi="Times New Roman" w:cs="Times New Roman"/>
          <w:b/>
          <w:sz w:val="44"/>
          <w:szCs w:val="44"/>
        </w:rPr>
      </w:pPr>
    </w:p>
    <w:p>
      <w:pPr>
        <w:jc w:val="center"/>
        <w:rPr>
          <w:rFonts w:hint="default" w:ascii="Times New Roman" w:hAnsi="Times New Roman" w:cs="Times New Roman"/>
          <w:b/>
          <w:sz w:val="44"/>
          <w:szCs w:val="44"/>
        </w:rPr>
      </w:pPr>
    </w:p>
    <w:p>
      <w:pPr>
        <w:jc w:val="center"/>
        <w:rPr>
          <w:rFonts w:hint="default" w:ascii="Times New Roman" w:hAnsi="Times New Roman" w:cs="Times New Roman"/>
          <w:b/>
          <w:sz w:val="44"/>
          <w:szCs w:val="44"/>
        </w:rPr>
      </w:pPr>
    </w:p>
    <w:p>
      <w:pPr>
        <w:jc w:val="center"/>
        <w:rPr>
          <w:rFonts w:hint="eastAsia" w:ascii="Times New Roman" w:hAnsi="Times New Roman" w:eastAsia="楷体" w:cs="Times New Roman"/>
          <w:b/>
          <w:sz w:val="32"/>
          <w:szCs w:val="32"/>
          <w:lang w:eastAsia="zh-CN"/>
        </w:rPr>
      </w:pPr>
      <w:r>
        <w:rPr>
          <w:rFonts w:hint="default" w:ascii="Times New Roman" w:hAnsi="Times New Roman" w:eastAsia="楷体" w:cs="Times New Roman"/>
          <w:b/>
          <w:sz w:val="32"/>
          <w:szCs w:val="32"/>
        </w:rPr>
        <w:t>吉林省生态环境</w:t>
      </w:r>
      <w:r>
        <w:rPr>
          <w:rFonts w:hint="eastAsia" w:eastAsia="楷体" w:cs="Times New Roman"/>
          <w:b/>
          <w:sz w:val="32"/>
          <w:szCs w:val="32"/>
          <w:lang w:eastAsia="zh-CN"/>
        </w:rPr>
        <w:t>监测中心</w:t>
      </w:r>
      <w:r>
        <w:rPr>
          <w:rFonts w:hint="eastAsia" w:eastAsia="楷体" w:cs="Times New Roman"/>
          <w:b/>
          <w:sz w:val="32"/>
          <w:szCs w:val="32"/>
          <w:lang w:val="en-US" w:eastAsia="zh-CN"/>
        </w:rPr>
        <w:t xml:space="preserve"> </w:t>
      </w:r>
    </w:p>
    <w:p>
      <w:pPr>
        <w:jc w:val="center"/>
        <w:rPr>
          <w:rFonts w:hint="default" w:ascii="Times New Roman" w:hAnsi="Times New Roman" w:eastAsia="楷体" w:cs="Times New Roman"/>
          <w:b/>
          <w:sz w:val="32"/>
          <w:szCs w:val="32"/>
        </w:rPr>
      </w:pPr>
      <w:r>
        <w:rPr>
          <w:rFonts w:hint="default" w:ascii="Times New Roman" w:hAnsi="Times New Roman" w:eastAsia="楷体" w:cs="Times New Roman"/>
          <w:b/>
          <w:sz w:val="32"/>
          <w:szCs w:val="32"/>
        </w:rPr>
        <w:t>202</w:t>
      </w:r>
      <w:r>
        <w:rPr>
          <w:rFonts w:hint="default" w:ascii="Times New Roman" w:hAnsi="Times New Roman" w:eastAsia="楷体" w:cs="Times New Roman"/>
          <w:b/>
          <w:sz w:val="32"/>
          <w:szCs w:val="32"/>
          <w:lang w:val="en-US" w:eastAsia="zh-CN"/>
        </w:rPr>
        <w:t>3</w:t>
      </w:r>
      <w:r>
        <w:rPr>
          <w:rFonts w:hint="default" w:ascii="Times New Roman" w:hAnsi="Times New Roman" w:eastAsia="楷体" w:cs="Times New Roman"/>
          <w:b/>
          <w:sz w:val="32"/>
          <w:szCs w:val="32"/>
        </w:rPr>
        <w:t>年</w:t>
      </w:r>
      <w:r>
        <w:rPr>
          <w:rFonts w:hint="default" w:ascii="Times New Roman" w:hAnsi="Times New Roman" w:eastAsia="楷体" w:cs="Times New Roman"/>
          <w:b/>
          <w:sz w:val="32"/>
          <w:szCs w:val="32"/>
          <w:lang w:val="en-US" w:eastAsia="zh-CN"/>
        </w:rPr>
        <w:t>1</w:t>
      </w:r>
      <w:r>
        <w:rPr>
          <w:rFonts w:hint="default" w:ascii="Times New Roman" w:hAnsi="Times New Roman" w:eastAsia="楷体" w:cs="Times New Roman"/>
          <w:b/>
          <w:sz w:val="32"/>
          <w:szCs w:val="32"/>
        </w:rPr>
        <w:t>月</w:t>
      </w:r>
    </w:p>
    <w:p>
      <w:pPr>
        <w:spacing w:line="360" w:lineRule="auto"/>
        <w:ind w:firstLine="600" w:firstLineChars="200"/>
        <w:rPr>
          <w:rFonts w:hint="default" w:ascii="Times New Roman" w:hAnsi="Times New Roman" w:eastAsia="楷体" w:cs="Times New Roman"/>
          <w:sz w:val="30"/>
          <w:szCs w:val="30"/>
        </w:rPr>
        <w:sectPr>
          <w:pgSz w:w="11906" w:h="16838"/>
          <w:pgMar w:top="1440" w:right="1797" w:bottom="1440" w:left="1797" w:header="851" w:footer="992" w:gutter="0"/>
          <w:pgBorders>
            <w:top w:val="none" w:sz="0" w:space="0"/>
            <w:left w:val="none" w:sz="0" w:space="0"/>
            <w:bottom w:val="none" w:sz="0" w:space="0"/>
            <w:right w:val="none" w:sz="0" w:space="0"/>
          </w:pgBorders>
          <w:cols w:space="720" w:num="1"/>
          <w:docGrid w:type="linesAndChars" w:linePitch="312" w:charSpace="0"/>
        </w:sectPr>
      </w:pPr>
    </w:p>
    <w:p>
      <w:pPr>
        <w:ind w:firstLine="551" w:firstLineChars="197"/>
        <w:rPr>
          <w:rFonts w:hint="default" w:ascii="Times New Roman" w:hAnsi="Times New Roman" w:eastAsia="仿宋" w:cs="Times New Roman"/>
          <w:sz w:val="28"/>
          <w:szCs w:val="28"/>
        </w:rPr>
      </w:pPr>
    </w:p>
    <w:p>
      <w:pPr>
        <w:bidi w:val="0"/>
        <w:rPr>
          <w:rFonts w:hint="default" w:ascii="Times New Roman" w:hAnsi="Times New Roman" w:cs="Times New Roman"/>
        </w:rPr>
      </w:pPr>
      <w:r>
        <w:rPr>
          <w:rFonts w:hint="default" w:ascii="Times New Roman" w:hAnsi="Times New Roman" w:cs="Times New Roman"/>
        </w:rPr>
        <w:t>编 制 单 位：吉林省生态环境监测中心</w:t>
      </w:r>
    </w:p>
    <w:p>
      <w:pPr>
        <w:bidi w:val="0"/>
        <w:rPr>
          <w:rFonts w:hint="default" w:ascii="Times New Roman" w:hAnsi="Times New Roman" w:cs="Times New Roman"/>
        </w:rPr>
      </w:pPr>
      <w:r>
        <w:rPr>
          <w:rFonts w:hint="default" w:ascii="Times New Roman" w:hAnsi="Times New Roman" w:cs="Times New Roman"/>
        </w:rPr>
        <w:t>批 准 单 位：吉林省生态环境厅</w:t>
      </w:r>
    </w:p>
    <w:p>
      <w:pPr>
        <w:bidi w:val="0"/>
        <w:rPr>
          <w:rFonts w:hint="default" w:ascii="Times New Roman" w:hAnsi="Times New Roman" w:cs="Times New Roman"/>
        </w:rPr>
      </w:pPr>
      <w:r>
        <w:rPr>
          <w:rFonts w:hint="default" w:ascii="Times New Roman" w:hAnsi="Times New Roman" w:cs="Times New Roman"/>
        </w:rPr>
        <w:t>审       定： 陈学伟</w:t>
      </w:r>
    </w:p>
    <w:p>
      <w:pPr>
        <w:bidi w:val="0"/>
        <w:rPr>
          <w:rFonts w:hint="default" w:ascii="Times New Roman" w:hAnsi="Times New Roman" w:cs="Times New Roman"/>
        </w:rPr>
      </w:pPr>
      <w:r>
        <w:rPr>
          <w:rFonts w:hint="default" w:ascii="Times New Roman" w:hAnsi="Times New Roman" w:cs="Times New Roman"/>
        </w:rPr>
        <w:t xml:space="preserve">审       核： 刘  洋  </w:t>
      </w:r>
    </w:p>
    <w:p>
      <w:pPr>
        <w:bidi w:val="0"/>
        <w:rPr>
          <w:rFonts w:hint="default" w:ascii="Times New Roman" w:hAnsi="Times New Roman" w:cs="Times New Roman"/>
        </w:rPr>
      </w:pPr>
      <w:r>
        <w:rPr>
          <w:rFonts w:hint="default" w:ascii="Times New Roman" w:hAnsi="Times New Roman" w:cs="Times New Roman"/>
        </w:rPr>
        <w:t>初       审： 马丽欣</w:t>
      </w:r>
      <w:bookmarkStart w:id="62" w:name="_GoBack"/>
      <w:bookmarkEnd w:id="62"/>
    </w:p>
    <w:p>
      <w:pPr>
        <w:bidi w:val="0"/>
        <w:rPr>
          <w:rFonts w:hint="default" w:ascii="Times New Roman" w:hAnsi="Times New Roman" w:cs="Times New Roman"/>
          <w:lang w:eastAsia="zh-CN"/>
        </w:rPr>
      </w:pPr>
      <w:r>
        <w:rPr>
          <w:rFonts w:hint="default" w:ascii="Times New Roman" w:hAnsi="Times New Roman" w:cs="Times New Roman"/>
        </w:rPr>
        <w:t xml:space="preserve">主     </w:t>
      </w:r>
      <w:r>
        <w:rPr>
          <w:rFonts w:hint="default" w:ascii="Times New Roman" w:hAnsi="Times New Roman" w:cs="Times New Roman"/>
          <w:lang w:val="en-US" w:eastAsia="zh-CN"/>
        </w:rPr>
        <w:t xml:space="preserve"> </w:t>
      </w:r>
      <w:r>
        <w:rPr>
          <w:rFonts w:hint="default" w:ascii="Times New Roman" w:hAnsi="Times New Roman" w:cs="Times New Roman"/>
        </w:rPr>
        <w:t xml:space="preserve"> 编： </w:t>
      </w:r>
      <w:r>
        <w:rPr>
          <w:rFonts w:hint="default" w:ascii="Times New Roman" w:hAnsi="Times New Roman" w:cs="Times New Roman"/>
          <w:lang w:eastAsia="zh-CN"/>
        </w:rPr>
        <w:t>杨国强</w:t>
      </w:r>
    </w:p>
    <w:p>
      <w:pPr>
        <w:bidi w:val="0"/>
        <w:rPr>
          <w:rFonts w:hint="eastAsia" w:ascii="Times New Roman" w:hAnsi="Times New Roman" w:cs="Times New Roman"/>
          <w:szCs w:val="21"/>
          <w:lang w:val="en-US" w:eastAsia="zh-CN"/>
        </w:rPr>
      </w:pPr>
      <w:r>
        <w:rPr>
          <w:rFonts w:hint="default" w:ascii="Times New Roman" w:hAnsi="Times New Roman" w:cs="Times New Roman"/>
        </w:rPr>
        <w:t xml:space="preserve">编       写： </w:t>
      </w:r>
      <w:r>
        <w:rPr>
          <w:rFonts w:hint="default" w:ascii="Times New Roman" w:hAnsi="Times New Roman" w:cs="Times New Roman"/>
          <w:lang w:eastAsia="zh-CN"/>
        </w:rPr>
        <w:t>高嘉聪</w:t>
      </w:r>
      <w:r>
        <w:rPr>
          <w:rFonts w:hint="eastAsia" w:ascii="Times New Roman" w:hAnsi="Times New Roman" w:cs="Times New Roman"/>
          <w:lang w:val="en-US" w:eastAsia="zh-CN"/>
        </w:rPr>
        <w:t xml:space="preserve">  </w:t>
      </w:r>
      <w:r>
        <w:rPr>
          <w:rFonts w:hint="eastAsia" w:ascii="Times New Roman" w:hAnsi="Times New Roman" w:cs="Times New Roman"/>
          <w:szCs w:val="21"/>
          <w:lang w:val="en-US" w:eastAsia="zh-CN"/>
        </w:rPr>
        <w:t>徐  睿</w:t>
      </w:r>
      <w:r>
        <w:rPr>
          <w:rFonts w:hint="eastAsia" w:cs="Times New Roman"/>
          <w:szCs w:val="21"/>
          <w:lang w:val="en-US" w:eastAsia="zh-CN"/>
        </w:rPr>
        <w:t xml:space="preserve">  </w:t>
      </w:r>
      <w:r>
        <w:rPr>
          <w:rFonts w:hint="default" w:ascii="Times New Roman" w:hAnsi="Times New Roman" w:cs="Times New Roman"/>
          <w:lang w:val="en-US" w:eastAsia="zh-CN"/>
        </w:rPr>
        <w:t>毕业兴</w:t>
      </w:r>
    </w:p>
    <w:p>
      <w:pPr>
        <w:bidi w:val="0"/>
        <w:rPr>
          <w:rFonts w:hint="default" w:ascii="Times New Roman" w:hAnsi="Times New Roman" w:cs="Times New Roman"/>
          <w:lang w:val="en-US"/>
        </w:rPr>
      </w:pPr>
      <w:r>
        <w:rPr>
          <w:rFonts w:hint="default" w:ascii="Times New Roman" w:hAnsi="Times New Roman" w:cs="Times New Roman"/>
        </w:rPr>
        <w:t>数 据 统 计：</w:t>
      </w:r>
      <w:r>
        <w:rPr>
          <w:rFonts w:hint="default" w:ascii="Times New Roman" w:hAnsi="Times New Roman" w:cs="Times New Roman"/>
          <w:lang w:val="en-US" w:eastAsia="zh-CN"/>
        </w:rPr>
        <w:t xml:space="preserve"> </w:t>
      </w:r>
      <w:r>
        <w:rPr>
          <w:rFonts w:hint="default" w:ascii="Times New Roman" w:hAnsi="Times New Roman" w:cs="Times New Roman"/>
          <w:lang w:eastAsia="zh-CN"/>
        </w:rPr>
        <w:t>高嘉聪</w:t>
      </w:r>
      <w:r>
        <w:rPr>
          <w:rFonts w:hint="default" w:ascii="Times New Roman" w:hAnsi="Times New Roman" w:cs="Times New Roman"/>
        </w:rPr>
        <w:t xml:space="preserve">  </w:t>
      </w:r>
      <w:r>
        <w:rPr>
          <w:rFonts w:hint="default" w:ascii="Times New Roman" w:hAnsi="Times New Roman" w:cs="Times New Roman"/>
          <w:szCs w:val="21"/>
          <w:lang w:val="en-US" w:eastAsia="zh-CN"/>
        </w:rPr>
        <w:t>师雅丽</w:t>
      </w:r>
      <w:r>
        <w:rPr>
          <w:rFonts w:hint="eastAsia" w:cs="Times New Roman"/>
          <w:szCs w:val="21"/>
          <w:lang w:val="en-US" w:eastAsia="zh-CN"/>
        </w:rPr>
        <w:t xml:space="preserve">  </w:t>
      </w:r>
      <w:r>
        <w:rPr>
          <w:rFonts w:hint="default" w:ascii="Times New Roman" w:hAnsi="Times New Roman" w:cs="Times New Roman"/>
          <w:lang w:val="en-US" w:eastAsia="zh-CN"/>
        </w:rPr>
        <w:t>金玉哲</w:t>
      </w:r>
    </w:p>
    <w:p>
      <w:pPr>
        <w:bidi w:val="0"/>
        <w:ind w:firstLine="1960" w:firstLineChars="700"/>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default" w:ascii="Times New Roman" w:hAnsi="Times New Roman" w:eastAsia="黑体" w:cs="Times New Roman"/>
          <w:b w:val="0"/>
          <w:bCs w:val="0"/>
          <w:sz w:val="36"/>
          <w:szCs w:val="36"/>
        </w:rPr>
        <w:sectPr>
          <w:footerReference r:id="rId5" w:type="default"/>
          <w:pgSz w:w="11906" w:h="16838"/>
          <w:pgMar w:top="1984" w:right="1417" w:bottom="1701" w:left="1701"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default" w:ascii="Times New Roman" w:hAnsi="Times New Roman" w:eastAsia="黑体" w:cs="Times New Roman"/>
          <w:b w:val="0"/>
          <w:bCs w:val="0"/>
          <w:sz w:val="36"/>
          <w:szCs w:val="36"/>
        </w:rPr>
      </w:pPr>
      <w:r>
        <w:rPr>
          <w:rFonts w:hint="default" w:ascii="Times New Roman" w:hAnsi="Times New Roman" w:eastAsia="黑体" w:cs="Times New Roman"/>
          <w:b w:val="0"/>
          <w:bCs w:val="0"/>
          <w:sz w:val="36"/>
          <w:szCs w:val="36"/>
        </w:rPr>
        <w:t>目    录</w:t>
      </w:r>
    </w:p>
    <w:p>
      <w:pPr>
        <w:pStyle w:val="9"/>
        <w:tabs>
          <w:tab w:val="right" w:leader="dot" w:pos="8788"/>
        </w:tabs>
        <w:rPr>
          <w:rFonts w:hint="default" w:ascii="Times New Roman" w:hAnsi="Times New Roman" w:eastAsia="仿宋" w:cs="Times New Roman"/>
          <w:b/>
          <w:bCs/>
        </w:rPr>
      </w:pPr>
      <w:r>
        <w:rPr>
          <w:rStyle w:val="13"/>
          <w:rFonts w:hint="default" w:ascii="Times New Roman" w:hAnsi="Times New Roman" w:eastAsia="仿宋" w:cs="Times New Roman"/>
          <w:b w:val="0"/>
          <w:bCs w:val="0"/>
          <w:sz w:val="32"/>
          <w:szCs w:val="32"/>
          <w:lang w:val="en-US" w:eastAsia="zh-CN"/>
        </w:rPr>
        <w:fldChar w:fldCharType="begin"/>
      </w:r>
      <w:r>
        <w:rPr>
          <w:rStyle w:val="13"/>
          <w:rFonts w:hint="default" w:ascii="Times New Roman" w:hAnsi="Times New Roman" w:eastAsia="仿宋" w:cs="Times New Roman"/>
          <w:b w:val="0"/>
          <w:bCs w:val="0"/>
          <w:sz w:val="32"/>
          <w:szCs w:val="32"/>
          <w:lang w:val="en-US" w:eastAsia="zh-CN"/>
        </w:rPr>
        <w:instrText xml:space="preserve"> TOC \o "1-3" \h \z \u </w:instrText>
      </w:r>
      <w:r>
        <w:rPr>
          <w:rStyle w:val="13"/>
          <w:rFonts w:hint="default" w:ascii="Times New Roman" w:hAnsi="Times New Roman" w:eastAsia="仿宋" w:cs="Times New Roman"/>
          <w:b w:val="0"/>
          <w:bCs w:val="0"/>
          <w:sz w:val="32"/>
          <w:szCs w:val="32"/>
          <w:lang w:val="en-US" w:eastAsia="zh-CN"/>
        </w:rPr>
        <w:fldChar w:fldCharType="separate"/>
      </w:r>
      <w:r>
        <w:rPr>
          <w:rFonts w:hint="default" w:ascii="Times New Roman" w:hAnsi="Times New Roman" w:eastAsia="仿宋" w:cs="Times New Roman"/>
          <w:b/>
          <w:bCs/>
          <w:szCs w:val="32"/>
          <w:lang w:val="en-US" w:eastAsia="zh-CN"/>
        </w:rPr>
        <w:fldChar w:fldCharType="begin"/>
      </w:r>
      <w:r>
        <w:rPr>
          <w:rFonts w:hint="default" w:ascii="Times New Roman" w:hAnsi="Times New Roman" w:eastAsia="仿宋" w:cs="Times New Roman"/>
          <w:b/>
          <w:bCs/>
          <w:szCs w:val="32"/>
          <w:lang w:val="en-US" w:eastAsia="zh-CN"/>
        </w:rPr>
        <w:instrText xml:space="preserve"> HYPERLINK \l _Toc15083 </w:instrText>
      </w:r>
      <w:r>
        <w:rPr>
          <w:rFonts w:hint="default" w:ascii="Times New Roman" w:hAnsi="Times New Roman" w:eastAsia="仿宋" w:cs="Times New Roman"/>
          <w:b/>
          <w:bCs/>
          <w:szCs w:val="32"/>
          <w:lang w:val="en-US" w:eastAsia="zh-CN"/>
        </w:rPr>
        <w:fldChar w:fldCharType="separate"/>
      </w:r>
      <w:r>
        <w:rPr>
          <w:rFonts w:hint="default" w:ascii="Times New Roman" w:hAnsi="Times New Roman" w:eastAsia="仿宋" w:cs="Times New Roman"/>
          <w:b/>
          <w:bCs/>
          <w:szCs w:val="36"/>
          <w:lang w:val="en-US" w:eastAsia="zh-CN"/>
        </w:rPr>
        <w:t>1 监测总体情况</w:t>
      </w:r>
      <w:r>
        <w:rPr>
          <w:rFonts w:hint="default" w:ascii="Times New Roman" w:hAnsi="Times New Roman" w:eastAsia="仿宋" w:cs="Times New Roman"/>
          <w:b/>
          <w:bCs/>
        </w:rPr>
        <w:tab/>
      </w:r>
      <w:r>
        <w:rPr>
          <w:rFonts w:hint="default" w:ascii="Times New Roman" w:hAnsi="Times New Roman" w:eastAsia="仿宋" w:cs="Times New Roman"/>
          <w:b/>
          <w:bCs/>
        </w:rPr>
        <w:fldChar w:fldCharType="begin"/>
      </w:r>
      <w:r>
        <w:rPr>
          <w:rFonts w:hint="default" w:ascii="Times New Roman" w:hAnsi="Times New Roman" w:eastAsia="仿宋" w:cs="Times New Roman"/>
          <w:b/>
          <w:bCs/>
        </w:rPr>
        <w:instrText xml:space="preserve"> PAGEREF _Toc15083 \h </w:instrText>
      </w:r>
      <w:r>
        <w:rPr>
          <w:rFonts w:hint="default" w:ascii="Times New Roman" w:hAnsi="Times New Roman" w:eastAsia="仿宋" w:cs="Times New Roman"/>
          <w:b/>
          <w:bCs/>
        </w:rPr>
        <w:fldChar w:fldCharType="separate"/>
      </w:r>
      <w:r>
        <w:rPr>
          <w:rFonts w:hint="default" w:ascii="Times New Roman" w:hAnsi="Times New Roman" w:eastAsia="仿宋" w:cs="Times New Roman"/>
          <w:b/>
          <w:bCs/>
        </w:rPr>
        <w:t>1</w:t>
      </w:r>
      <w:r>
        <w:rPr>
          <w:rFonts w:hint="default" w:ascii="Times New Roman" w:hAnsi="Times New Roman" w:eastAsia="仿宋" w:cs="Times New Roman"/>
          <w:b/>
          <w:bCs/>
        </w:rPr>
        <w:fldChar w:fldCharType="end"/>
      </w:r>
      <w:r>
        <w:rPr>
          <w:rFonts w:hint="default" w:ascii="Times New Roman" w:hAnsi="Times New Roman" w:eastAsia="仿宋" w:cs="Times New Roman"/>
          <w:b/>
          <w:bCs/>
          <w:szCs w:val="32"/>
          <w:lang w:val="en-US" w:eastAsia="zh-CN"/>
        </w:rPr>
        <w:fldChar w:fldCharType="end"/>
      </w:r>
    </w:p>
    <w:p>
      <w:pPr>
        <w:pStyle w:val="9"/>
        <w:tabs>
          <w:tab w:val="right" w:leader="dot" w:pos="8788"/>
        </w:tabs>
        <w:ind w:firstLine="280" w:firstLineChars="100"/>
        <w:rPr>
          <w:rFonts w:hint="default" w:ascii="Times New Roman" w:hAnsi="Times New Roman" w:eastAsia="仿宋" w:cs="Times New Roman"/>
        </w:rPr>
      </w:pPr>
      <w:r>
        <w:rPr>
          <w:rFonts w:hint="default" w:ascii="Times New Roman" w:hAnsi="Times New Roman" w:eastAsia="仿宋" w:cs="Times New Roman"/>
          <w:bCs w:val="0"/>
          <w:szCs w:val="32"/>
          <w:lang w:val="en-US" w:eastAsia="zh-CN"/>
        </w:rPr>
        <w:fldChar w:fldCharType="begin"/>
      </w:r>
      <w:r>
        <w:rPr>
          <w:rFonts w:hint="default" w:ascii="Times New Roman" w:hAnsi="Times New Roman" w:eastAsia="仿宋" w:cs="Times New Roman"/>
          <w:bCs w:val="0"/>
          <w:szCs w:val="32"/>
          <w:lang w:val="en-US" w:eastAsia="zh-CN"/>
        </w:rPr>
        <w:instrText xml:space="preserve"> HYPERLINK \l _Toc14817 </w:instrText>
      </w:r>
      <w:r>
        <w:rPr>
          <w:rFonts w:hint="default" w:ascii="Times New Roman" w:hAnsi="Times New Roman" w:eastAsia="仿宋" w:cs="Times New Roman"/>
          <w:bCs w:val="0"/>
          <w:szCs w:val="32"/>
          <w:lang w:val="en-US" w:eastAsia="zh-CN"/>
        </w:rPr>
        <w:fldChar w:fldCharType="separate"/>
      </w:r>
      <w:r>
        <w:rPr>
          <w:rFonts w:hint="default" w:ascii="Times New Roman" w:hAnsi="Times New Roman" w:eastAsia="仿宋" w:cs="Times New Roman"/>
          <w:bCs/>
          <w:szCs w:val="30"/>
          <w:lang w:val="en-US" w:eastAsia="zh-CN"/>
        </w:rPr>
        <w:t>1.1监测范围</w:t>
      </w:r>
      <w:r>
        <w:rPr>
          <w:rFonts w:hint="default" w:ascii="Times New Roman" w:hAnsi="Times New Roman" w:eastAsia="仿宋" w:cs="Times New Roman"/>
        </w:rPr>
        <w:tab/>
      </w: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PAGEREF _Toc14817 \h </w:instrText>
      </w:r>
      <w:r>
        <w:rPr>
          <w:rFonts w:hint="default" w:ascii="Times New Roman" w:hAnsi="Times New Roman" w:eastAsia="仿宋" w:cs="Times New Roman"/>
        </w:rPr>
        <w:fldChar w:fldCharType="separate"/>
      </w:r>
      <w:r>
        <w:rPr>
          <w:rFonts w:hint="default" w:ascii="Times New Roman" w:hAnsi="Times New Roman" w:eastAsia="仿宋" w:cs="Times New Roman"/>
        </w:rPr>
        <w:t>1</w:t>
      </w:r>
      <w:r>
        <w:rPr>
          <w:rFonts w:hint="default" w:ascii="Times New Roman" w:hAnsi="Times New Roman" w:eastAsia="仿宋" w:cs="Times New Roman"/>
        </w:rPr>
        <w:fldChar w:fldCharType="end"/>
      </w:r>
      <w:r>
        <w:rPr>
          <w:rFonts w:hint="default" w:ascii="Times New Roman" w:hAnsi="Times New Roman" w:eastAsia="仿宋" w:cs="Times New Roman"/>
          <w:bCs w:val="0"/>
          <w:szCs w:val="32"/>
          <w:lang w:val="en-US" w:eastAsia="zh-CN"/>
        </w:rPr>
        <w:fldChar w:fldCharType="end"/>
      </w:r>
    </w:p>
    <w:p>
      <w:pPr>
        <w:pStyle w:val="9"/>
        <w:tabs>
          <w:tab w:val="right" w:leader="dot" w:pos="8788"/>
        </w:tabs>
        <w:ind w:firstLine="280" w:firstLineChars="100"/>
        <w:rPr>
          <w:rFonts w:hint="default" w:ascii="Times New Roman" w:hAnsi="Times New Roman" w:eastAsia="仿宋" w:cs="Times New Roman"/>
        </w:rPr>
      </w:pPr>
      <w:r>
        <w:rPr>
          <w:rFonts w:hint="default" w:ascii="Times New Roman" w:hAnsi="Times New Roman" w:eastAsia="仿宋" w:cs="Times New Roman"/>
          <w:bCs w:val="0"/>
          <w:szCs w:val="32"/>
          <w:lang w:val="en-US" w:eastAsia="zh-CN"/>
        </w:rPr>
        <w:fldChar w:fldCharType="begin"/>
      </w:r>
      <w:r>
        <w:rPr>
          <w:rFonts w:hint="default" w:ascii="Times New Roman" w:hAnsi="Times New Roman" w:eastAsia="仿宋" w:cs="Times New Roman"/>
          <w:bCs w:val="0"/>
          <w:szCs w:val="32"/>
          <w:lang w:val="en-US" w:eastAsia="zh-CN"/>
        </w:rPr>
        <w:instrText xml:space="preserve"> HYPERLINK \l _Toc15307 </w:instrText>
      </w:r>
      <w:r>
        <w:rPr>
          <w:rFonts w:hint="default" w:ascii="Times New Roman" w:hAnsi="Times New Roman" w:eastAsia="仿宋" w:cs="Times New Roman"/>
          <w:bCs w:val="0"/>
          <w:szCs w:val="32"/>
          <w:lang w:val="en-US" w:eastAsia="zh-CN"/>
        </w:rPr>
        <w:fldChar w:fldCharType="separate"/>
      </w:r>
      <w:r>
        <w:rPr>
          <w:rFonts w:hint="default" w:ascii="Times New Roman" w:hAnsi="Times New Roman" w:eastAsia="仿宋" w:cs="Times New Roman"/>
          <w:bCs/>
          <w:szCs w:val="30"/>
          <w:lang w:val="en-US" w:eastAsia="zh-CN"/>
        </w:rPr>
        <w:t>1.2监测项目</w:t>
      </w:r>
      <w:r>
        <w:rPr>
          <w:rFonts w:hint="default" w:ascii="Times New Roman" w:hAnsi="Times New Roman" w:eastAsia="仿宋" w:cs="Times New Roman"/>
        </w:rPr>
        <w:tab/>
      </w: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PAGEREF _Toc15307 \h </w:instrText>
      </w:r>
      <w:r>
        <w:rPr>
          <w:rFonts w:hint="default" w:ascii="Times New Roman" w:hAnsi="Times New Roman" w:eastAsia="仿宋" w:cs="Times New Roman"/>
        </w:rPr>
        <w:fldChar w:fldCharType="separate"/>
      </w:r>
      <w:r>
        <w:rPr>
          <w:rFonts w:hint="default" w:ascii="Times New Roman" w:hAnsi="Times New Roman" w:eastAsia="仿宋" w:cs="Times New Roman"/>
        </w:rPr>
        <w:t>1</w:t>
      </w:r>
      <w:r>
        <w:rPr>
          <w:rFonts w:hint="default" w:ascii="Times New Roman" w:hAnsi="Times New Roman" w:eastAsia="仿宋" w:cs="Times New Roman"/>
        </w:rPr>
        <w:fldChar w:fldCharType="end"/>
      </w:r>
      <w:r>
        <w:rPr>
          <w:rFonts w:hint="default" w:ascii="Times New Roman" w:hAnsi="Times New Roman" w:eastAsia="仿宋" w:cs="Times New Roman"/>
          <w:bCs w:val="0"/>
          <w:szCs w:val="32"/>
          <w:lang w:val="en-US" w:eastAsia="zh-CN"/>
        </w:rPr>
        <w:fldChar w:fldCharType="end"/>
      </w:r>
    </w:p>
    <w:p>
      <w:pPr>
        <w:pStyle w:val="9"/>
        <w:tabs>
          <w:tab w:val="right" w:leader="dot" w:pos="8788"/>
        </w:tabs>
        <w:ind w:firstLine="280" w:firstLineChars="100"/>
        <w:rPr>
          <w:rFonts w:hint="default" w:ascii="Times New Roman" w:hAnsi="Times New Roman" w:eastAsia="仿宋" w:cs="Times New Roman"/>
        </w:rPr>
      </w:pPr>
      <w:r>
        <w:rPr>
          <w:rFonts w:hint="default" w:ascii="Times New Roman" w:hAnsi="Times New Roman" w:eastAsia="仿宋" w:cs="Times New Roman"/>
          <w:bCs w:val="0"/>
          <w:szCs w:val="32"/>
          <w:lang w:val="en-US" w:eastAsia="zh-CN"/>
        </w:rPr>
        <w:fldChar w:fldCharType="begin"/>
      </w:r>
      <w:r>
        <w:rPr>
          <w:rFonts w:hint="default" w:ascii="Times New Roman" w:hAnsi="Times New Roman" w:eastAsia="仿宋" w:cs="Times New Roman"/>
          <w:bCs w:val="0"/>
          <w:szCs w:val="32"/>
          <w:lang w:val="en-US" w:eastAsia="zh-CN"/>
        </w:rPr>
        <w:instrText xml:space="preserve"> HYPERLINK \l _Toc15003 </w:instrText>
      </w:r>
      <w:r>
        <w:rPr>
          <w:rFonts w:hint="default" w:ascii="Times New Roman" w:hAnsi="Times New Roman" w:eastAsia="仿宋" w:cs="Times New Roman"/>
          <w:bCs w:val="0"/>
          <w:szCs w:val="32"/>
          <w:lang w:val="en-US" w:eastAsia="zh-CN"/>
        </w:rPr>
        <w:fldChar w:fldCharType="separate"/>
      </w:r>
      <w:r>
        <w:rPr>
          <w:rFonts w:hint="default" w:ascii="Times New Roman" w:hAnsi="Times New Roman" w:eastAsia="仿宋" w:cs="Times New Roman"/>
          <w:bCs/>
          <w:szCs w:val="30"/>
          <w:lang w:val="en-US" w:eastAsia="zh-CN"/>
        </w:rPr>
        <w:t>1.3监测频次</w:t>
      </w:r>
      <w:r>
        <w:rPr>
          <w:rFonts w:hint="default" w:ascii="Times New Roman" w:hAnsi="Times New Roman" w:eastAsia="仿宋" w:cs="Times New Roman"/>
        </w:rPr>
        <w:tab/>
      </w: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PAGEREF _Toc15003 \h </w:instrText>
      </w:r>
      <w:r>
        <w:rPr>
          <w:rFonts w:hint="default" w:ascii="Times New Roman" w:hAnsi="Times New Roman" w:eastAsia="仿宋" w:cs="Times New Roman"/>
        </w:rPr>
        <w:fldChar w:fldCharType="separate"/>
      </w:r>
      <w:r>
        <w:rPr>
          <w:rFonts w:hint="default" w:ascii="Times New Roman" w:hAnsi="Times New Roman" w:eastAsia="仿宋" w:cs="Times New Roman"/>
        </w:rPr>
        <w:t>2</w:t>
      </w:r>
      <w:r>
        <w:rPr>
          <w:rFonts w:hint="default" w:ascii="Times New Roman" w:hAnsi="Times New Roman" w:eastAsia="仿宋" w:cs="Times New Roman"/>
        </w:rPr>
        <w:fldChar w:fldCharType="end"/>
      </w:r>
      <w:r>
        <w:rPr>
          <w:rFonts w:hint="default" w:ascii="Times New Roman" w:hAnsi="Times New Roman" w:eastAsia="仿宋" w:cs="Times New Roman"/>
          <w:bCs w:val="0"/>
          <w:szCs w:val="32"/>
          <w:lang w:val="en-US" w:eastAsia="zh-CN"/>
        </w:rPr>
        <w:fldChar w:fldCharType="end"/>
      </w:r>
    </w:p>
    <w:p>
      <w:pPr>
        <w:pStyle w:val="9"/>
        <w:tabs>
          <w:tab w:val="right" w:leader="dot" w:pos="8788"/>
        </w:tabs>
        <w:ind w:firstLine="280" w:firstLineChars="100"/>
        <w:rPr>
          <w:rFonts w:hint="default" w:ascii="Times New Roman" w:hAnsi="Times New Roman" w:eastAsia="仿宋" w:cs="Times New Roman"/>
        </w:rPr>
      </w:pPr>
      <w:r>
        <w:rPr>
          <w:rFonts w:hint="default" w:ascii="Times New Roman" w:hAnsi="Times New Roman" w:eastAsia="仿宋" w:cs="Times New Roman"/>
          <w:bCs w:val="0"/>
          <w:szCs w:val="32"/>
          <w:lang w:val="en-US" w:eastAsia="zh-CN"/>
        </w:rPr>
        <w:fldChar w:fldCharType="begin"/>
      </w:r>
      <w:r>
        <w:rPr>
          <w:rFonts w:hint="default" w:ascii="Times New Roman" w:hAnsi="Times New Roman" w:eastAsia="仿宋" w:cs="Times New Roman"/>
          <w:bCs w:val="0"/>
          <w:szCs w:val="32"/>
          <w:lang w:val="en-US" w:eastAsia="zh-CN"/>
        </w:rPr>
        <w:instrText xml:space="preserve"> HYPERLINK \l _Toc28082 </w:instrText>
      </w:r>
      <w:r>
        <w:rPr>
          <w:rFonts w:hint="default" w:ascii="Times New Roman" w:hAnsi="Times New Roman" w:eastAsia="仿宋" w:cs="Times New Roman"/>
          <w:bCs w:val="0"/>
          <w:szCs w:val="32"/>
          <w:lang w:val="en-US" w:eastAsia="zh-CN"/>
        </w:rPr>
        <w:fldChar w:fldCharType="separate"/>
      </w:r>
      <w:r>
        <w:rPr>
          <w:rFonts w:hint="default" w:ascii="Times New Roman" w:hAnsi="Times New Roman" w:eastAsia="仿宋" w:cs="Times New Roman"/>
          <w:bCs/>
          <w:szCs w:val="30"/>
          <w:lang w:val="en-US" w:eastAsia="zh-CN"/>
        </w:rPr>
        <w:t>1.4质量保证与质量控制</w:t>
      </w:r>
      <w:r>
        <w:rPr>
          <w:rFonts w:hint="default" w:ascii="Times New Roman" w:hAnsi="Times New Roman" w:eastAsia="仿宋" w:cs="Times New Roman"/>
        </w:rPr>
        <w:tab/>
      </w: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PAGEREF _Toc28082 \h </w:instrText>
      </w:r>
      <w:r>
        <w:rPr>
          <w:rFonts w:hint="default" w:ascii="Times New Roman" w:hAnsi="Times New Roman" w:eastAsia="仿宋" w:cs="Times New Roman"/>
        </w:rPr>
        <w:fldChar w:fldCharType="separate"/>
      </w:r>
      <w:r>
        <w:rPr>
          <w:rFonts w:hint="default" w:ascii="Times New Roman" w:hAnsi="Times New Roman" w:eastAsia="仿宋" w:cs="Times New Roman"/>
        </w:rPr>
        <w:t>2</w:t>
      </w:r>
      <w:r>
        <w:rPr>
          <w:rFonts w:hint="default" w:ascii="Times New Roman" w:hAnsi="Times New Roman" w:eastAsia="仿宋" w:cs="Times New Roman"/>
        </w:rPr>
        <w:fldChar w:fldCharType="end"/>
      </w:r>
      <w:r>
        <w:rPr>
          <w:rFonts w:hint="default" w:ascii="Times New Roman" w:hAnsi="Times New Roman" w:eastAsia="仿宋" w:cs="Times New Roman"/>
          <w:bCs w:val="0"/>
          <w:szCs w:val="32"/>
          <w:lang w:val="en-US" w:eastAsia="zh-CN"/>
        </w:rPr>
        <w:fldChar w:fldCharType="end"/>
      </w:r>
    </w:p>
    <w:p>
      <w:pPr>
        <w:pStyle w:val="9"/>
        <w:tabs>
          <w:tab w:val="right" w:leader="dot" w:pos="8788"/>
        </w:tabs>
        <w:rPr>
          <w:rFonts w:hint="default" w:ascii="Times New Roman" w:hAnsi="Times New Roman" w:eastAsia="仿宋" w:cs="Times New Roman"/>
          <w:b/>
          <w:bCs/>
        </w:rPr>
      </w:pPr>
      <w:r>
        <w:rPr>
          <w:rFonts w:hint="default" w:ascii="Times New Roman" w:hAnsi="Times New Roman" w:eastAsia="仿宋" w:cs="Times New Roman"/>
          <w:b/>
          <w:bCs/>
          <w:szCs w:val="32"/>
          <w:lang w:val="en-US" w:eastAsia="zh-CN"/>
        </w:rPr>
        <w:fldChar w:fldCharType="begin"/>
      </w:r>
      <w:r>
        <w:rPr>
          <w:rFonts w:hint="default" w:ascii="Times New Roman" w:hAnsi="Times New Roman" w:eastAsia="仿宋" w:cs="Times New Roman"/>
          <w:b/>
          <w:bCs/>
          <w:szCs w:val="32"/>
          <w:lang w:val="en-US" w:eastAsia="zh-CN"/>
        </w:rPr>
        <w:instrText xml:space="preserve"> HYPERLINK \l _Toc20039 </w:instrText>
      </w:r>
      <w:r>
        <w:rPr>
          <w:rFonts w:hint="default" w:ascii="Times New Roman" w:hAnsi="Times New Roman" w:eastAsia="仿宋" w:cs="Times New Roman"/>
          <w:b/>
          <w:bCs/>
          <w:szCs w:val="32"/>
          <w:lang w:val="en-US" w:eastAsia="zh-CN"/>
        </w:rPr>
        <w:fldChar w:fldCharType="separate"/>
      </w:r>
      <w:r>
        <w:rPr>
          <w:rFonts w:hint="default" w:ascii="Times New Roman" w:hAnsi="Times New Roman" w:eastAsia="仿宋" w:cs="Times New Roman"/>
          <w:b/>
          <w:bCs/>
          <w:szCs w:val="32"/>
          <w:lang w:val="en-US" w:eastAsia="zh-CN"/>
        </w:rPr>
        <w:t>2 污染物排放监测</w:t>
      </w:r>
      <w:r>
        <w:rPr>
          <w:rFonts w:hint="default" w:ascii="Times New Roman" w:hAnsi="Times New Roman" w:eastAsia="仿宋" w:cs="Times New Roman"/>
          <w:b/>
          <w:bCs/>
        </w:rPr>
        <w:tab/>
      </w:r>
      <w:r>
        <w:rPr>
          <w:rFonts w:hint="default" w:ascii="Times New Roman" w:hAnsi="Times New Roman" w:eastAsia="仿宋" w:cs="Times New Roman"/>
          <w:b/>
          <w:bCs/>
        </w:rPr>
        <w:fldChar w:fldCharType="begin"/>
      </w:r>
      <w:r>
        <w:rPr>
          <w:rFonts w:hint="default" w:ascii="Times New Roman" w:hAnsi="Times New Roman" w:eastAsia="仿宋" w:cs="Times New Roman"/>
          <w:b/>
          <w:bCs/>
        </w:rPr>
        <w:instrText xml:space="preserve"> PAGEREF _Toc20039 \h </w:instrText>
      </w:r>
      <w:r>
        <w:rPr>
          <w:rFonts w:hint="default" w:ascii="Times New Roman" w:hAnsi="Times New Roman" w:eastAsia="仿宋" w:cs="Times New Roman"/>
          <w:b/>
          <w:bCs/>
        </w:rPr>
        <w:fldChar w:fldCharType="separate"/>
      </w:r>
      <w:r>
        <w:rPr>
          <w:rFonts w:hint="default" w:ascii="Times New Roman" w:hAnsi="Times New Roman" w:eastAsia="仿宋" w:cs="Times New Roman"/>
          <w:b/>
          <w:bCs/>
        </w:rPr>
        <w:t>2</w:t>
      </w:r>
      <w:r>
        <w:rPr>
          <w:rFonts w:hint="default" w:ascii="Times New Roman" w:hAnsi="Times New Roman" w:eastAsia="仿宋" w:cs="Times New Roman"/>
          <w:b/>
          <w:bCs/>
        </w:rPr>
        <w:fldChar w:fldCharType="end"/>
      </w:r>
      <w:r>
        <w:rPr>
          <w:rFonts w:hint="default" w:ascii="Times New Roman" w:hAnsi="Times New Roman" w:eastAsia="仿宋" w:cs="Times New Roman"/>
          <w:b/>
          <w:bCs/>
          <w:szCs w:val="32"/>
          <w:lang w:val="en-US" w:eastAsia="zh-CN"/>
        </w:rPr>
        <w:fldChar w:fldCharType="end"/>
      </w:r>
    </w:p>
    <w:p>
      <w:pPr>
        <w:pStyle w:val="9"/>
        <w:tabs>
          <w:tab w:val="right" w:leader="dot" w:pos="8788"/>
        </w:tabs>
        <w:ind w:firstLine="280" w:firstLineChars="100"/>
        <w:rPr>
          <w:rFonts w:hint="default" w:ascii="Times New Roman" w:hAnsi="Times New Roman" w:eastAsia="仿宋" w:cs="Times New Roman"/>
        </w:rPr>
      </w:pPr>
      <w:r>
        <w:rPr>
          <w:rFonts w:hint="default" w:ascii="Times New Roman" w:hAnsi="Times New Roman" w:eastAsia="仿宋" w:cs="Times New Roman"/>
          <w:bCs w:val="0"/>
          <w:szCs w:val="32"/>
          <w:lang w:val="en-US" w:eastAsia="zh-CN"/>
        </w:rPr>
        <w:fldChar w:fldCharType="begin"/>
      </w:r>
      <w:r>
        <w:rPr>
          <w:rFonts w:hint="default" w:ascii="Times New Roman" w:hAnsi="Times New Roman" w:eastAsia="仿宋" w:cs="Times New Roman"/>
          <w:bCs w:val="0"/>
          <w:szCs w:val="32"/>
          <w:lang w:val="en-US" w:eastAsia="zh-CN"/>
        </w:rPr>
        <w:instrText xml:space="preserve"> HYPERLINK \l _Toc26026 </w:instrText>
      </w:r>
      <w:r>
        <w:rPr>
          <w:rFonts w:hint="default" w:ascii="Times New Roman" w:hAnsi="Times New Roman" w:eastAsia="仿宋" w:cs="Times New Roman"/>
          <w:bCs w:val="0"/>
          <w:szCs w:val="32"/>
          <w:lang w:val="en-US" w:eastAsia="zh-CN"/>
        </w:rPr>
        <w:fldChar w:fldCharType="separate"/>
      </w:r>
      <w:r>
        <w:rPr>
          <w:rFonts w:hint="default" w:ascii="Times New Roman" w:hAnsi="Times New Roman" w:eastAsia="仿宋" w:cs="Times New Roman"/>
          <w:bCs/>
          <w:szCs w:val="30"/>
          <w:lang w:val="en-US" w:eastAsia="zh-CN"/>
        </w:rPr>
        <w:t>2.1废水污染源执法监测情况</w:t>
      </w:r>
      <w:r>
        <w:rPr>
          <w:rFonts w:hint="default" w:ascii="Times New Roman" w:hAnsi="Times New Roman" w:eastAsia="仿宋" w:cs="Times New Roman"/>
        </w:rPr>
        <w:tab/>
      </w: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PAGEREF _Toc26026 \h </w:instrText>
      </w:r>
      <w:r>
        <w:rPr>
          <w:rFonts w:hint="default" w:ascii="Times New Roman" w:hAnsi="Times New Roman" w:eastAsia="仿宋" w:cs="Times New Roman"/>
        </w:rPr>
        <w:fldChar w:fldCharType="separate"/>
      </w:r>
      <w:r>
        <w:rPr>
          <w:rFonts w:hint="default" w:ascii="Times New Roman" w:hAnsi="Times New Roman" w:eastAsia="仿宋" w:cs="Times New Roman"/>
        </w:rPr>
        <w:t>2</w:t>
      </w:r>
      <w:r>
        <w:rPr>
          <w:rFonts w:hint="default" w:ascii="Times New Roman" w:hAnsi="Times New Roman" w:eastAsia="仿宋" w:cs="Times New Roman"/>
        </w:rPr>
        <w:fldChar w:fldCharType="end"/>
      </w:r>
      <w:r>
        <w:rPr>
          <w:rFonts w:hint="default" w:ascii="Times New Roman" w:hAnsi="Times New Roman" w:eastAsia="仿宋" w:cs="Times New Roman"/>
          <w:bCs w:val="0"/>
          <w:szCs w:val="32"/>
          <w:lang w:val="en-US" w:eastAsia="zh-CN"/>
        </w:rPr>
        <w:fldChar w:fldCharType="end"/>
      </w:r>
    </w:p>
    <w:p>
      <w:pPr>
        <w:pStyle w:val="9"/>
        <w:tabs>
          <w:tab w:val="right" w:leader="dot" w:pos="8788"/>
        </w:tabs>
        <w:ind w:firstLine="280" w:firstLineChars="100"/>
        <w:rPr>
          <w:rFonts w:hint="default" w:ascii="Times New Roman" w:hAnsi="Times New Roman" w:eastAsia="仿宋" w:cs="Times New Roman"/>
        </w:rPr>
      </w:pPr>
      <w:r>
        <w:rPr>
          <w:rFonts w:hint="default" w:ascii="Times New Roman" w:hAnsi="Times New Roman" w:eastAsia="仿宋" w:cs="Times New Roman"/>
          <w:bCs w:val="0"/>
          <w:szCs w:val="32"/>
          <w:lang w:val="en-US" w:eastAsia="zh-CN"/>
        </w:rPr>
        <w:fldChar w:fldCharType="begin"/>
      </w:r>
      <w:r>
        <w:rPr>
          <w:rFonts w:hint="default" w:ascii="Times New Roman" w:hAnsi="Times New Roman" w:eastAsia="仿宋" w:cs="Times New Roman"/>
          <w:bCs w:val="0"/>
          <w:szCs w:val="32"/>
          <w:lang w:val="en-US" w:eastAsia="zh-CN"/>
        </w:rPr>
        <w:instrText xml:space="preserve"> HYPERLINK \l _Toc20200 </w:instrText>
      </w:r>
      <w:r>
        <w:rPr>
          <w:rFonts w:hint="default" w:ascii="Times New Roman" w:hAnsi="Times New Roman" w:eastAsia="仿宋" w:cs="Times New Roman"/>
          <w:bCs w:val="0"/>
          <w:szCs w:val="32"/>
          <w:lang w:val="en-US" w:eastAsia="zh-CN"/>
        </w:rPr>
        <w:fldChar w:fldCharType="separate"/>
      </w:r>
      <w:r>
        <w:rPr>
          <w:rFonts w:hint="default" w:ascii="Times New Roman" w:hAnsi="Times New Roman" w:eastAsia="仿宋" w:cs="Times New Roman"/>
          <w:bCs/>
          <w:szCs w:val="30"/>
          <w:lang w:val="en-US" w:eastAsia="zh-CN"/>
        </w:rPr>
        <w:t>2.2废气污染源执法监测情况</w:t>
      </w:r>
      <w:r>
        <w:rPr>
          <w:rFonts w:hint="default" w:ascii="Times New Roman" w:hAnsi="Times New Roman" w:eastAsia="仿宋" w:cs="Times New Roman"/>
        </w:rPr>
        <w:tab/>
      </w: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PAGEREF _Toc20200 \h </w:instrText>
      </w:r>
      <w:r>
        <w:rPr>
          <w:rFonts w:hint="default" w:ascii="Times New Roman" w:hAnsi="Times New Roman" w:eastAsia="仿宋" w:cs="Times New Roman"/>
        </w:rPr>
        <w:fldChar w:fldCharType="separate"/>
      </w:r>
      <w:r>
        <w:rPr>
          <w:rFonts w:hint="default" w:ascii="Times New Roman" w:hAnsi="Times New Roman" w:eastAsia="仿宋" w:cs="Times New Roman"/>
        </w:rPr>
        <w:t>9</w:t>
      </w:r>
      <w:r>
        <w:rPr>
          <w:rFonts w:hint="default" w:ascii="Times New Roman" w:hAnsi="Times New Roman" w:eastAsia="仿宋" w:cs="Times New Roman"/>
        </w:rPr>
        <w:fldChar w:fldCharType="end"/>
      </w:r>
      <w:r>
        <w:rPr>
          <w:rFonts w:hint="default" w:ascii="Times New Roman" w:hAnsi="Times New Roman" w:eastAsia="仿宋" w:cs="Times New Roman"/>
          <w:bCs w:val="0"/>
          <w:szCs w:val="32"/>
          <w:lang w:val="en-US" w:eastAsia="zh-CN"/>
        </w:rPr>
        <w:fldChar w:fldCharType="end"/>
      </w:r>
    </w:p>
    <w:p>
      <w:pPr>
        <w:pStyle w:val="9"/>
        <w:tabs>
          <w:tab w:val="right" w:leader="dot" w:pos="8788"/>
        </w:tabs>
        <w:ind w:firstLine="280" w:firstLineChars="100"/>
        <w:rPr>
          <w:rFonts w:hint="default" w:ascii="Times New Roman" w:hAnsi="Times New Roman" w:eastAsia="仿宋" w:cs="Times New Roman"/>
        </w:rPr>
      </w:pPr>
      <w:r>
        <w:rPr>
          <w:rFonts w:hint="default" w:ascii="Times New Roman" w:hAnsi="Times New Roman" w:eastAsia="仿宋" w:cs="Times New Roman"/>
          <w:bCs w:val="0"/>
          <w:szCs w:val="32"/>
          <w:lang w:val="en-US" w:eastAsia="zh-CN"/>
        </w:rPr>
        <w:fldChar w:fldCharType="begin"/>
      </w:r>
      <w:r>
        <w:rPr>
          <w:rFonts w:hint="default" w:ascii="Times New Roman" w:hAnsi="Times New Roman" w:eastAsia="仿宋" w:cs="Times New Roman"/>
          <w:bCs w:val="0"/>
          <w:szCs w:val="32"/>
          <w:lang w:val="en-US" w:eastAsia="zh-CN"/>
        </w:rPr>
        <w:instrText xml:space="preserve"> HYPERLINK \l _Toc2145 </w:instrText>
      </w:r>
      <w:r>
        <w:rPr>
          <w:rFonts w:hint="default" w:ascii="Times New Roman" w:hAnsi="Times New Roman" w:eastAsia="仿宋" w:cs="Times New Roman"/>
          <w:bCs w:val="0"/>
          <w:szCs w:val="32"/>
          <w:lang w:val="en-US" w:eastAsia="zh-CN"/>
        </w:rPr>
        <w:fldChar w:fldCharType="separate"/>
      </w:r>
      <w:r>
        <w:rPr>
          <w:rFonts w:hint="default" w:ascii="Times New Roman" w:hAnsi="Times New Roman" w:eastAsia="仿宋" w:cs="Times New Roman"/>
          <w:bCs/>
          <w:szCs w:val="30"/>
          <w:lang w:val="en" w:eastAsia="zh-CN"/>
        </w:rPr>
        <w:t>2</w:t>
      </w:r>
      <w:r>
        <w:rPr>
          <w:rFonts w:hint="default" w:ascii="Times New Roman" w:hAnsi="Times New Roman" w:eastAsia="仿宋" w:cs="Times New Roman"/>
          <w:bCs/>
          <w:szCs w:val="30"/>
          <w:lang w:val="en-US" w:eastAsia="zh-CN"/>
        </w:rPr>
        <w:t>.3污水处理厂执法监测情况</w:t>
      </w:r>
      <w:r>
        <w:rPr>
          <w:rFonts w:hint="default" w:ascii="Times New Roman" w:hAnsi="Times New Roman" w:eastAsia="仿宋" w:cs="Times New Roman"/>
        </w:rPr>
        <w:tab/>
      </w: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PAGEREF _Toc2145 \h </w:instrText>
      </w:r>
      <w:r>
        <w:rPr>
          <w:rFonts w:hint="default" w:ascii="Times New Roman" w:hAnsi="Times New Roman" w:eastAsia="仿宋" w:cs="Times New Roman"/>
        </w:rPr>
        <w:fldChar w:fldCharType="separate"/>
      </w:r>
      <w:r>
        <w:rPr>
          <w:rFonts w:hint="default" w:ascii="Times New Roman" w:hAnsi="Times New Roman" w:eastAsia="仿宋" w:cs="Times New Roman"/>
        </w:rPr>
        <w:t>16</w:t>
      </w:r>
      <w:r>
        <w:rPr>
          <w:rFonts w:hint="default" w:ascii="Times New Roman" w:hAnsi="Times New Roman" w:eastAsia="仿宋" w:cs="Times New Roman"/>
        </w:rPr>
        <w:fldChar w:fldCharType="end"/>
      </w:r>
      <w:r>
        <w:rPr>
          <w:rFonts w:hint="default" w:ascii="Times New Roman" w:hAnsi="Times New Roman" w:eastAsia="仿宋" w:cs="Times New Roman"/>
          <w:bCs w:val="0"/>
          <w:szCs w:val="32"/>
          <w:lang w:val="en-US" w:eastAsia="zh-CN"/>
        </w:rPr>
        <w:fldChar w:fldCharType="end"/>
      </w:r>
    </w:p>
    <w:p>
      <w:pPr>
        <w:pStyle w:val="9"/>
        <w:tabs>
          <w:tab w:val="right" w:leader="dot" w:pos="8788"/>
        </w:tabs>
        <w:ind w:firstLine="280" w:firstLineChars="100"/>
        <w:rPr>
          <w:rFonts w:hint="default" w:ascii="Times New Roman" w:hAnsi="Times New Roman" w:eastAsia="仿宋" w:cs="Times New Roman"/>
        </w:rPr>
      </w:pPr>
      <w:r>
        <w:rPr>
          <w:rFonts w:hint="default" w:ascii="Times New Roman" w:hAnsi="Times New Roman" w:eastAsia="仿宋" w:cs="Times New Roman"/>
          <w:bCs w:val="0"/>
          <w:szCs w:val="32"/>
          <w:lang w:val="en-US" w:eastAsia="zh-CN"/>
        </w:rPr>
        <w:fldChar w:fldCharType="begin"/>
      </w:r>
      <w:r>
        <w:rPr>
          <w:rFonts w:hint="default" w:ascii="Times New Roman" w:hAnsi="Times New Roman" w:eastAsia="仿宋" w:cs="Times New Roman"/>
          <w:bCs w:val="0"/>
          <w:szCs w:val="32"/>
          <w:lang w:val="en-US" w:eastAsia="zh-CN"/>
        </w:rPr>
        <w:instrText xml:space="preserve"> HYPERLINK \l _Toc32239 </w:instrText>
      </w:r>
      <w:r>
        <w:rPr>
          <w:rFonts w:hint="default" w:ascii="Times New Roman" w:hAnsi="Times New Roman" w:eastAsia="仿宋" w:cs="Times New Roman"/>
          <w:bCs w:val="0"/>
          <w:szCs w:val="32"/>
          <w:lang w:val="en-US" w:eastAsia="zh-CN"/>
        </w:rPr>
        <w:fldChar w:fldCharType="separate"/>
      </w:r>
      <w:r>
        <w:rPr>
          <w:rFonts w:hint="default" w:ascii="Times New Roman" w:hAnsi="Times New Roman" w:eastAsia="仿宋" w:cs="Times New Roman"/>
          <w:bCs/>
          <w:szCs w:val="30"/>
          <w:lang w:val="en-US" w:eastAsia="zh-CN"/>
        </w:rPr>
        <w:t>2.4无组织排放执法监测情况</w:t>
      </w:r>
      <w:r>
        <w:rPr>
          <w:rFonts w:hint="default" w:ascii="Times New Roman" w:hAnsi="Times New Roman" w:eastAsia="仿宋" w:cs="Times New Roman"/>
        </w:rPr>
        <w:tab/>
      </w: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PAGEREF _Toc32239 \h </w:instrText>
      </w:r>
      <w:r>
        <w:rPr>
          <w:rFonts w:hint="default" w:ascii="Times New Roman" w:hAnsi="Times New Roman" w:eastAsia="仿宋" w:cs="Times New Roman"/>
        </w:rPr>
        <w:fldChar w:fldCharType="separate"/>
      </w:r>
      <w:r>
        <w:rPr>
          <w:rFonts w:hint="default" w:ascii="Times New Roman" w:hAnsi="Times New Roman" w:eastAsia="仿宋" w:cs="Times New Roman"/>
        </w:rPr>
        <w:t>19</w:t>
      </w:r>
      <w:r>
        <w:rPr>
          <w:rFonts w:hint="default" w:ascii="Times New Roman" w:hAnsi="Times New Roman" w:eastAsia="仿宋" w:cs="Times New Roman"/>
        </w:rPr>
        <w:fldChar w:fldCharType="end"/>
      </w:r>
      <w:r>
        <w:rPr>
          <w:rFonts w:hint="default" w:ascii="Times New Roman" w:hAnsi="Times New Roman" w:eastAsia="仿宋" w:cs="Times New Roman"/>
          <w:bCs w:val="0"/>
          <w:szCs w:val="32"/>
          <w:lang w:val="en-US" w:eastAsia="zh-CN"/>
        </w:rPr>
        <w:fldChar w:fldCharType="end"/>
      </w:r>
    </w:p>
    <w:p>
      <w:pPr>
        <w:pStyle w:val="9"/>
        <w:tabs>
          <w:tab w:val="right" w:leader="dot" w:pos="8788"/>
        </w:tabs>
        <w:ind w:firstLine="280" w:firstLineChars="100"/>
        <w:rPr>
          <w:rFonts w:hint="default" w:ascii="Times New Roman" w:hAnsi="Times New Roman" w:eastAsia="仿宋" w:cs="Times New Roman"/>
        </w:rPr>
      </w:pPr>
      <w:r>
        <w:rPr>
          <w:rFonts w:hint="default" w:ascii="Times New Roman" w:hAnsi="Times New Roman" w:eastAsia="仿宋" w:cs="Times New Roman"/>
          <w:bCs w:val="0"/>
          <w:szCs w:val="32"/>
          <w:lang w:val="en-US" w:eastAsia="zh-CN"/>
        </w:rPr>
        <w:fldChar w:fldCharType="begin"/>
      </w:r>
      <w:r>
        <w:rPr>
          <w:rFonts w:hint="default" w:ascii="Times New Roman" w:hAnsi="Times New Roman" w:eastAsia="仿宋" w:cs="Times New Roman"/>
          <w:bCs w:val="0"/>
          <w:szCs w:val="32"/>
          <w:lang w:val="en-US" w:eastAsia="zh-CN"/>
        </w:rPr>
        <w:instrText xml:space="preserve"> HYPERLINK \l _Toc2003 </w:instrText>
      </w:r>
      <w:r>
        <w:rPr>
          <w:rFonts w:hint="default" w:ascii="Times New Roman" w:hAnsi="Times New Roman" w:eastAsia="仿宋" w:cs="Times New Roman"/>
          <w:bCs w:val="0"/>
          <w:szCs w:val="32"/>
          <w:lang w:val="en-US" w:eastAsia="zh-CN"/>
        </w:rPr>
        <w:fldChar w:fldCharType="separate"/>
      </w:r>
      <w:r>
        <w:rPr>
          <w:rFonts w:hint="default" w:ascii="Times New Roman" w:hAnsi="Times New Roman" w:eastAsia="仿宋" w:cs="Times New Roman"/>
          <w:bCs/>
          <w:szCs w:val="30"/>
          <w:lang w:val="en-US" w:eastAsia="zh-CN"/>
        </w:rPr>
        <w:t>2.5周边环境执法监测情况</w:t>
      </w:r>
      <w:r>
        <w:rPr>
          <w:rFonts w:hint="default" w:ascii="Times New Roman" w:hAnsi="Times New Roman" w:eastAsia="仿宋" w:cs="Times New Roman"/>
        </w:rPr>
        <w:tab/>
      </w: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PAGEREF _Toc2003 \h </w:instrText>
      </w:r>
      <w:r>
        <w:rPr>
          <w:rFonts w:hint="default" w:ascii="Times New Roman" w:hAnsi="Times New Roman" w:eastAsia="仿宋" w:cs="Times New Roman"/>
        </w:rPr>
        <w:fldChar w:fldCharType="separate"/>
      </w:r>
      <w:r>
        <w:rPr>
          <w:rFonts w:hint="default" w:ascii="Times New Roman" w:hAnsi="Times New Roman" w:eastAsia="仿宋" w:cs="Times New Roman"/>
        </w:rPr>
        <w:t>20</w:t>
      </w:r>
      <w:r>
        <w:rPr>
          <w:rFonts w:hint="default" w:ascii="Times New Roman" w:hAnsi="Times New Roman" w:eastAsia="仿宋" w:cs="Times New Roman"/>
        </w:rPr>
        <w:fldChar w:fldCharType="end"/>
      </w:r>
      <w:r>
        <w:rPr>
          <w:rFonts w:hint="default" w:ascii="Times New Roman" w:hAnsi="Times New Roman" w:eastAsia="仿宋" w:cs="Times New Roman"/>
          <w:bCs w:val="0"/>
          <w:szCs w:val="32"/>
          <w:lang w:val="en-US" w:eastAsia="zh-CN"/>
        </w:rPr>
        <w:fldChar w:fldCharType="end"/>
      </w:r>
    </w:p>
    <w:p>
      <w:pPr>
        <w:pStyle w:val="9"/>
        <w:tabs>
          <w:tab w:val="right" w:leader="dot" w:pos="8788"/>
        </w:tabs>
        <w:ind w:firstLine="280" w:firstLineChars="100"/>
        <w:rPr>
          <w:rFonts w:hint="default" w:ascii="Times New Roman" w:hAnsi="Times New Roman" w:eastAsia="仿宋" w:cs="Times New Roman"/>
        </w:rPr>
      </w:pPr>
      <w:r>
        <w:rPr>
          <w:rFonts w:hint="default" w:ascii="Times New Roman" w:hAnsi="Times New Roman" w:eastAsia="仿宋" w:cs="Times New Roman"/>
          <w:bCs w:val="0"/>
          <w:szCs w:val="32"/>
          <w:lang w:val="en-US" w:eastAsia="zh-CN"/>
        </w:rPr>
        <w:fldChar w:fldCharType="begin"/>
      </w:r>
      <w:r>
        <w:rPr>
          <w:rFonts w:hint="default" w:ascii="Times New Roman" w:hAnsi="Times New Roman" w:eastAsia="仿宋" w:cs="Times New Roman"/>
          <w:bCs w:val="0"/>
          <w:szCs w:val="32"/>
          <w:lang w:val="en-US" w:eastAsia="zh-CN"/>
        </w:rPr>
        <w:instrText xml:space="preserve"> HYPERLINK \l _Toc5950 </w:instrText>
      </w:r>
      <w:r>
        <w:rPr>
          <w:rFonts w:hint="default" w:ascii="Times New Roman" w:hAnsi="Times New Roman" w:eastAsia="仿宋" w:cs="Times New Roman"/>
          <w:bCs w:val="0"/>
          <w:szCs w:val="32"/>
          <w:lang w:val="en-US" w:eastAsia="zh-CN"/>
        </w:rPr>
        <w:fldChar w:fldCharType="separate"/>
      </w:r>
      <w:r>
        <w:rPr>
          <w:rFonts w:hint="default" w:ascii="Times New Roman" w:hAnsi="Times New Roman" w:eastAsia="仿宋" w:cs="Times New Roman"/>
          <w:bCs/>
          <w:szCs w:val="30"/>
          <w:lang w:val="en-US" w:eastAsia="zh-CN"/>
        </w:rPr>
        <w:t>2.6厂界噪声执法监测情况</w:t>
      </w:r>
      <w:r>
        <w:rPr>
          <w:rFonts w:hint="default" w:ascii="Times New Roman" w:hAnsi="Times New Roman" w:eastAsia="仿宋" w:cs="Times New Roman"/>
        </w:rPr>
        <w:tab/>
      </w: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PAGEREF _Toc5950 \h </w:instrText>
      </w:r>
      <w:r>
        <w:rPr>
          <w:rFonts w:hint="default" w:ascii="Times New Roman" w:hAnsi="Times New Roman" w:eastAsia="仿宋" w:cs="Times New Roman"/>
        </w:rPr>
        <w:fldChar w:fldCharType="separate"/>
      </w:r>
      <w:r>
        <w:rPr>
          <w:rFonts w:hint="default" w:ascii="Times New Roman" w:hAnsi="Times New Roman" w:eastAsia="仿宋" w:cs="Times New Roman"/>
        </w:rPr>
        <w:t>20</w:t>
      </w:r>
      <w:r>
        <w:rPr>
          <w:rFonts w:hint="default" w:ascii="Times New Roman" w:hAnsi="Times New Roman" w:eastAsia="仿宋" w:cs="Times New Roman"/>
        </w:rPr>
        <w:fldChar w:fldCharType="end"/>
      </w:r>
      <w:r>
        <w:rPr>
          <w:rFonts w:hint="default" w:ascii="Times New Roman" w:hAnsi="Times New Roman" w:eastAsia="仿宋" w:cs="Times New Roman"/>
          <w:bCs w:val="0"/>
          <w:szCs w:val="32"/>
          <w:lang w:val="en-US" w:eastAsia="zh-CN"/>
        </w:rPr>
        <w:fldChar w:fldCharType="end"/>
      </w:r>
    </w:p>
    <w:p>
      <w:pPr>
        <w:pStyle w:val="9"/>
        <w:tabs>
          <w:tab w:val="right" w:leader="dot" w:pos="8788"/>
        </w:tabs>
        <w:rPr>
          <w:rFonts w:hint="default" w:ascii="Times New Roman" w:hAnsi="Times New Roman" w:eastAsia="仿宋" w:cs="Times New Roman"/>
          <w:b/>
          <w:bCs/>
        </w:rPr>
      </w:pPr>
      <w:r>
        <w:rPr>
          <w:rFonts w:hint="default" w:ascii="Times New Roman" w:hAnsi="Times New Roman" w:eastAsia="仿宋" w:cs="Times New Roman"/>
          <w:b/>
          <w:bCs/>
          <w:szCs w:val="32"/>
          <w:lang w:val="en-US" w:eastAsia="zh-CN"/>
        </w:rPr>
        <w:fldChar w:fldCharType="begin"/>
      </w:r>
      <w:r>
        <w:rPr>
          <w:rFonts w:hint="default" w:ascii="Times New Roman" w:hAnsi="Times New Roman" w:eastAsia="仿宋" w:cs="Times New Roman"/>
          <w:b/>
          <w:bCs/>
          <w:szCs w:val="32"/>
          <w:lang w:val="en-US" w:eastAsia="zh-CN"/>
        </w:rPr>
        <w:instrText xml:space="preserve"> HYPERLINK \l _Toc14765 </w:instrText>
      </w:r>
      <w:r>
        <w:rPr>
          <w:rFonts w:hint="default" w:ascii="Times New Roman" w:hAnsi="Times New Roman" w:eastAsia="仿宋" w:cs="Times New Roman"/>
          <w:b/>
          <w:bCs/>
          <w:szCs w:val="32"/>
          <w:lang w:val="en-US" w:eastAsia="zh-CN"/>
        </w:rPr>
        <w:fldChar w:fldCharType="separate"/>
      </w:r>
      <w:r>
        <w:rPr>
          <w:rFonts w:hint="default" w:ascii="Times New Roman" w:hAnsi="Times New Roman" w:eastAsia="仿宋" w:cs="Times New Roman"/>
          <w:b/>
          <w:bCs/>
          <w:szCs w:val="36"/>
          <w:lang w:val="en-US" w:eastAsia="zh-CN"/>
        </w:rPr>
        <w:t>3 自动监测设备比对监测</w:t>
      </w:r>
      <w:r>
        <w:rPr>
          <w:rFonts w:hint="default" w:ascii="Times New Roman" w:hAnsi="Times New Roman" w:eastAsia="仿宋" w:cs="Times New Roman"/>
          <w:b/>
          <w:bCs/>
        </w:rPr>
        <w:tab/>
      </w:r>
      <w:r>
        <w:rPr>
          <w:rFonts w:hint="default" w:ascii="Times New Roman" w:hAnsi="Times New Roman" w:eastAsia="仿宋" w:cs="Times New Roman"/>
          <w:b/>
          <w:bCs/>
        </w:rPr>
        <w:fldChar w:fldCharType="begin"/>
      </w:r>
      <w:r>
        <w:rPr>
          <w:rFonts w:hint="default" w:ascii="Times New Roman" w:hAnsi="Times New Roman" w:eastAsia="仿宋" w:cs="Times New Roman"/>
          <w:b/>
          <w:bCs/>
        </w:rPr>
        <w:instrText xml:space="preserve"> PAGEREF _Toc14765 \h </w:instrText>
      </w:r>
      <w:r>
        <w:rPr>
          <w:rFonts w:hint="default" w:ascii="Times New Roman" w:hAnsi="Times New Roman" w:eastAsia="仿宋" w:cs="Times New Roman"/>
          <w:b/>
          <w:bCs/>
        </w:rPr>
        <w:fldChar w:fldCharType="separate"/>
      </w:r>
      <w:r>
        <w:rPr>
          <w:rFonts w:hint="default" w:ascii="Times New Roman" w:hAnsi="Times New Roman" w:eastAsia="仿宋" w:cs="Times New Roman"/>
          <w:b/>
          <w:bCs/>
        </w:rPr>
        <w:t>21</w:t>
      </w:r>
      <w:r>
        <w:rPr>
          <w:rFonts w:hint="default" w:ascii="Times New Roman" w:hAnsi="Times New Roman" w:eastAsia="仿宋" w:cs="Times New Roman"/>
          <w:b/>
          <w:bCs/>
        </w:rPr>
        <w:fldChar w:fldCharType="end"/>
      </w:r>
      <w:r>
        <w:rPr>
          <w:rFonts w:hint="default" w:ascii="Times New Roman" w:hAnsi="Times New Roman" w:eastAsia="仿宋" w:cs="Times New Roman"/>
          <w:b/>
          <w:bCs/>
          <w:szCs w:val="32"/>
          <w:lang w:val="en-US" w:eastAsia="zh-CN"/>
        </w:rPr>
        <w:fldChar w:fldCharType="end"/>
      </w:r>
    </w:p>
    <w:p>
      <w:pPr>
        <w:pStyle w:val="9"/>
        <w:tabs>
          <w:tab w:val="right" w:leader="dot" w:pos="8788"/>
        </w:tabs>
        <w:ind w:firstLine="280" w:firstLineChars="100"/>
        <w:rPr>
          <w:rFonts w:hint="default" w:ascii="Times New Roman" w:hAnsi="Times New Roman" w:eastAsia="仿宋" w:cs="Times New Roman"/>
        </w:rPr>
      </w:pPr>
      <w:r>
        <w:rPr>
          <w:rFonts w:hint="default" w:ascii="Times New Roman" w:hAnsi="Times New Roman" w:eastAsia="仿宋" w:cs="Times New Roman"/>
          <w:bCs w:val="0"/>
          <w:szCs w:val="32"/>
          <w:lang w:val="en-US" w:eastAsia="zh-CN"/>
        </w:rPr>
        <w:fldChar w:fldCharType="begin"/>
      </w:r>
      <w:r>
        <w:rPr>
          <w:rFonts w:hint="default" w:ascii="Times New Roman" w:hAnsi="Times New Roman" w:eastAsia="仿宋" w:cs="Times New Roman"/>
          <w:bCs w:val="0"/>
          <w:szCs w:val="32"/>
          <w:lang w:val="en-US" w:eastAsia="zh-CN"/>
        </w:rPr>
        <w:instrText xml:space="preserve"> HYPERLINK \l _Toc6270 </w:instrText>
      </w:r>
      <w:r>
        <w:rPr>
          <w:rFonts w:hint="default" w:ascii="Times New Roman" w:hAnsi="Times New Roman" w:eastAsia="仿宋" w:cs="Times New Roman"/>
          <w:bCs w:val="0"/>
          <w:szCs w:val="32"/>
          <w:lang w:val="en-US" w:eastAsia="zh-CN"/>
        </w:rPr>
        <w:fldChar w:fldCharType="separate"/>
      </w:r>
      <w:r>
        <w:rPr>
          <w:rFonts w:hint="default" w:ascii="Times New Roman" w:hAnsi="Times New Roman" w:eastAsia="仿宋" w:cs="Times New Roman"/>
          <w:bCs/>
          <w:szCs w:val="30"/>
          <w:lang w:val="en-US" w:eastAsia="zh-CN"/>
        </w:rPr>
        <w:t>3.1废水自动监测设备比对监测分析</w:t>
      </w:r>
      <w:r>
        <w:rPr>
          <w:rFonts w:hint="default" w:ascii="Times New Roman" w:hAnsi="Times New Roman" w:eastAsia="仿宋" w:cs="Times New Roman"/>
        </w:rPr>
        <w:tab/>
      </w: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PAGEREF _Toc6270 \h </w:instrText>
      </w:r>
      <w:r>
        <w:rPr>
          <w:rFonts w:hint="default" w:ascii="Times New Roman" w:hAnsi="Times New Roman" w:eastAsia="仿宋" w:cs="Times New Roman"/>
        </w:rPr>
        <w:fldChar w:fldCharType="separate"/>
      </w:r>
      <w:r>
        <w:rPr>
          <w:rFonts w:hint="default" w:ascii="Times New Roman" w:hAnsi="Times New Roman" w:eastAsia="仿宋" w:cs="Times New Roman"/>
        </w:rPr>
        <w:t>21</w:t>
      </w:r>
      <w:r>
        <w:rPr>
          <w:rFonts w:hint="default" w:ascii="Times New Roman" w:hAnsi="Times New Roman" w:eastAsia="仿宋" w:cs="Times New Roman"/>
        </w:rPr>
        <w:fldChar w:fldCharType="end"/>
      </w:r>
      <w:r>
        <w:rPr>
          <w:rFonts w:hint="default" w:ascii="Times New Roman" w:hAnsi="Times New Roman" w:eastAsia="仿宋" w:cs="Times New Roman"/>
          <w:bCs w:val="0"/>
          <w:szCs w:val="32"/>
          <w:lang w:val="en-US" w:eastAsia="zh-CN"/>
        </w:rPr>
        <w:fldChar w:fldCharType="end"/>
      </w:r>
    </w:p>
    <w:p>
      <w:pPr>
        <w:pStyle w:val="9"/>
        <w:tabs>
          <w:tab w:val="right" w:leader="dot" w:pos="8788"/>
        </w:tabs>
        <w:ind w:firstLine="280" w:firstLineChars="100"/>
        <w:rPr>
          <w:rFonts w:hint="default" w:ascii="Times New Roman" w:hAnsi="Times New Roman" w:eastAsia="仿宋" w:cs="Times New Roman"/>
        </w:rPr>
      </w:pPr>
      <w:r>
        <w:rPr>
          <w:rFonts w:hint="default" w:ascii="Times New Roman" w:hAnsi="Times New Roman" w:eastAsia="仿宋" w:cs="Times New Roman"/>
          <w:bCs w:val="0"/>
          <w:szCs w:val="32"/>
          <w:lang w:val="en-US" w:eastAsia="zh-CN"/>
        </w:rPr>
        <w:fldChar w:fldCharType="begin"/>
      </w:r>
      <w:r>
        <w:rPr>
          <w:rFonts w:hint="default" w:ascii="Times New Roman" w:hAnsi="Times New Roman" w:eastAsia="仿宋" w:cs="Times New Roman"/>
          <w:bCs w:val="0"/>
          <w:szCs w:val="32"/>
          <w:lang w:val="en-US" w:eastAsia="zh-CN"/>
        </w:rPr>
        <w:instrText xml:space="preserve"> HYPERLINK \l _Toc16670 </w:instrText>
      </w:r>
      <w:r>
        <w:rPr>
          <w:rFonts w:hint="default" w:ascii="Times New Roman" w:hAnsi="Times New Roman" w:eastAsia="仿宋" w:cs="Times New Roman"/>
          <w:bCs w:val="0"/>
          <w:szCs w:val="32"/>
          <w:lang w:val="en-US" w:eastAsia="zh-CN"/>
        </w:rPr>
        <w:fldChar w:fldCharType="separate"/>
      </w:r>
      <w:r>
        <w:rPr>
          <w:rFonts w:hint="default" w:ascii="Times New Roman" w:hAnsi="Times New Roman" w:eastAsia="仿宋" w:cs="Times New Roman"/>
          <w:bCs/>
          <w:szCs w:val="30"/>
          <w:lang w:val="en-US" w:eastAsia="zh-CN"/>
        </w:rPr>
        <w:t>3.2废气自动监测设备比对监测分析</w:t>
      </w:r>
      <w:r>
        <w:rPr>
          <w:rFonts w:hint="default" w:ascii="Times New Roman" w:hAnsi="Times New Roman" w:eastAsia="仿宋" w:cs="Times New Roman"/>
        </w:rPr>
        <w:tab/>
      </w: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PAGEREF _Toc16670 \h </w:instrText>
      </w:r>
      <w:r>
        <w:rPr>
          <w:rFonts w:hint="default" w:ascii="Times New Roman" w:hAnsi="Times New Roman" w:eastAsia="仿宋" w:cs="Times New Roman"/>
        </w:rPr>
        <w:fldChar w:fldCharType="separate"/>
      </w:r>
      <w:r>
        <w:rPr>
          <w:rFonts w:hint="default" w:ascii="Times New Roman" w:hAnsi="Times New Roman" w:eastAsia="仿宋" w:cs="Times New Roman"/>
        </w:rPr>
        <w:t>22</w:t>
      </w:r>
      <w:r>
        <w:rPr>
          <w:rFonts w:hint="default" w:ascii="Times New Roman" w:hAnsi="Times New Roman" w:eastAsia="仿宋" w:cs="Times New Roman"/>
        </w:rPr>
        <w:fldChar w:fldCharType="end"/>
      </w:r>
      <w:r>
        <w:rPr>
          <w:rFonts w:hint="default" w:ascii="Times New Roman" w:hAnsi="Times New Roman" w:eastAsia="仿宋" w:cs="Times New Roman"/>
          <w:bCs w:val="0"/>
          <w:szCs w:val="32"/>
          <w:lang w:val="en-US" w:eastAsia="zh-CN"/>
        </w:rPr>
        <w:fldChar w:fldCharType="end"/>
      </w:r>
    </w:p>
    <w:p>
      <w:pPr>
        <w:pStyle w:val="9"/>
        <w:tabs>
          <w:tab w:val="right" w:leader="dot" w:pos="8788"/>
        </w:tabs>
        <w:rPr>
          <w:rFonts w:hint="default" w:ascii="Times New Roman" w:hAnsi="Times New Roman" w:eastAsia="仿宋" w:cs="Times New Roman"/>
          <w:b/>
          <w:bCs/>
        </w:rPr>
      </w:pPr>
      <w:r>
        <w:rPr>
          <w:rFonts w:hint="default" w:ascii="Times New Roman" w:hAnsi="Times New Roman" w:eastAsia="仿宋" w:cs="Times New Roman"/>
          <w:b/>
          <w:bCs/>
          <w:szCs w:val="32"/>
          <w:lang w:val="en-US" w:eastAsia="zh-CN"/>
        </w:rPr>
        <w:fldChar w:fldCharType="begin"/>
      </w:r>
      <w:r>
        <w:rPr>
          <w:rFonts w:hint="default" w:ascii="Times New Roman" w:hAnsi="Times New Roman" w:eastAsia="仿宋" w:cs="Times New Roman"/>
          <w:b/>
          <w:bCs/>
          <w:szCs w:val="32"/>
          <w:lang w:val="en-US" w:eastAsia="zh-CN"/>
        </w:rPr>
        <w:instrText xml:space="preserve"> HYPERLINK \l _Toc29110 </w:instrText>
      </w:r>
      <w:r>
        <w:rPr>
          <w:rFonts w:hint="default" w:ascii="Times New Roman" w:hAnsi="Times New Roman" w:eastAsia="仿宋" w:cs="Times New Roman"/>
          <w:b/>
          <w:bCs/>
          <w:szCs w:val="32"/>
          <w:lang w:val="en-US" w:eastAsia="zh-CN"/>
        </w:rPr>
        <w:fldChar w:fldCharType="separate"/>
      </w:r>
      <w:r>
        <w:rPr>
          <w:rFonts w:hint="default" w:ascii="Times New Roman" w:hAnsi="Times New Roman" w:eastAsia="仿宋" w:cs="Times New Roman"/>
          <w:b/>
          <w:bCs/>
          <w:szCs w:val="36"/>
          <w:lang w:val="en-US" w:eastAsia="zh-CN"/>
        </w:rPr>
        <w:t>4 结论</w:t>
      </w:r>
      <w:r>
        <w:rPr>
          <w:rFonts w:hint="default" w:ascii="Times New Roman" w:hAnsi="Times New Roman" w:eastAsia="仿宋" w:cs="Times New Roman"/>
          <w:b/>
          <w:bCs/>
        </w:rPr>
        <w:tab/>
      </w:r>
      <w:r>
        <w:rPr>
          <w:rFonts w:hint="default" w:ascii="Times New Roman" w:hAnsi="Times New Roman" w:eastAsia="仿宋" w:cs="Times New Roman"/>
          <w:b/>
          <w:bCs/>
        </w:rPr>
        <w:fldChar w:fldCharType="begin"/>
      </w:r>
      <w:r>
        <w:rPr>
          <w:rFonts w:hint="default" w:ascii="Times New Roman" w:hAnsi="Times New Roman" w:eastAsia="仿宋" w:cs="Times New Roman"/>
          <w:b/>
          <w:bCs/>
        </w:rPr>
        <w:instrText xml:space="preserve"> PAGEREF _Toc29110 \h </w:instrText>
      </w:r>
      <w:r>
        <w:rPr>
          <w:rFonts w:hint="default" w:ascii="Times New Roman" w:hAnsi="Times New Roman" w:eastAsia="仿宋" w:cs="Times New Roman"/>
          <w:b/>
          <w:bCs/>
        </w:rPr>
        <w:fldChar w:fldCharType="separate"/>
      </w:r>
      <w:r>
        <w:rPr>
          <w:rFonts w:hint="default" w:ascii="Times New Roman" w:hAnsi="Times New Roman" w:eastAsia="仿宋" w:cs="Times New Roman"/>
          <w:b/>
          <w:bCs/>
        </w:rPr>
        <w:t>23</w:t>
      </w:r>
      <w:r>
        <w:rPr>
          <w:rFonts w:hint="default" w:ascii="Times New Roman" w:hAnsi="Times New Roman" w:eastAsia="仿宋" w:cs="Times New Roman"/>
          <w:b/>
          <w:bCs/>
        </w:rPr>
        <w:fldChar w:fldCharType="end"/>
      </w:r>
      <w:r>
        <w:rPr>
          <w:rFonts w:hint="default" w:ascii="Times New Roman" w:hAnsi="Times New Roman" w:eastAsia="仿宋" w:cs="Times New Roman"/>
          <w:b/>
          <w:bCs/>
          <w:szCs w:val="32"/>
          <w:lang w:val="en-US" w:eastAsia="zh-CN"/>
        </w:rPr>
        <w:fldChar w:fldCharType="end"/>
      </w:r>
    </w:p>
    <w:p>
      <w:pPr>
        <w:pStyle w:val="9"/>
        <w:tabs>
          <w:tab w:val="right" w:leader="dot" w:pos="8788"/>
        </w:tabs>
        <w:ind w:firstLine="280" w:firstLineChars="100"/>
        <w:rPr>
          <w:rFonts w:hint="default" w:ascii="Times New Roman" w:hAnsi="Times New Roman" w:eastAsia="仿宋" w:cs="Times New Roman"/>
        </w:rPr>
      </w:pPr>
      <w:r>
        <w:rPr>
          <w:rFonts w:hint="default" w:ascii="Times New Roman" w:hAnsi="Times New Roman" w:eastAsia="仿宋" w:cs="Times New Roman"/>
          <w:bCs w:val="0"/>
          <w:szCs w:val="32"/>
          <w:lang w:val="en-US" w:eastAsia="zh-CN"/>
        </w:rPr>
        <w:fldChar w:fldCharType="begin"/>
      </w:r>
      <w:r>
        <w:rPr>
          <w:rFonts w:hint="default" w:ascii="Times New Roman" w:hAnsi="Times New Roman" w:eastAsia="仿宋" w:cs="Times New Roman"/>
          <w:bCs w:val="0"/>
          <w:szCs w:val="32"/>
          <w:lang w:val="en-US" w:eastAsia="zh-CN"/>
        </w:rPr>
        <w:instrText xml:space="preserve"> HYPERLINK \l _Toc13173 </w:instrText>
      </w:r>
      <w:r>
        <w:rPr>
          <w:rFonts w:hint="default" w:ascii="Times New Roman" w:hAnsi="Times New Roman" w:eastAsia="仿宋" w:cs="Times New Roman"/>
          <w:bCs w:val="0"/>
          <w:szCs w:val="32"/>
          <w:lang w:val="en-US" w:eastAsia="zh-CN"/>
        </w:rPr>
        <w:fldChar w:fldCharType="separate"/>
      </w:r>
      <w:r>
        <w:rPr>
          <w:rFonts w:hint="default" w:ascii="Times New Roman" w:hAnsi="Times New Roman" w:eastAsia="仿宋" w:cs="Times New Roman"/>
          <w:bCs/>
          <w:szCs w:val="30"/>
          <w:lang w:val="en-US" w:eastAsia="zh-CN"/>
        </w:rPr>
        <w:t>4.1 废水污染源执法监测情况</w:t>
      </w:r>
      <w:r>
        <w:rPr>
          <w:rFonts w:hint="default" w:ascii="Times New Roman" w:hAnsi="Times New Roman" w:eastAsia="仿宋" w:cs="Times New Roman"/>
        </w:rPr>
        <w:tab/>
      </w: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PAGEREF _Toc13173 \h </w:instrText>
      </w:r>
      <w:r>
        <w:rPr>
          <w:rFonts w:hint="default" w:ascii="Times New Roman" w:hAnsi="Times New Roman" w:eastAsia="仿宋" w:cs="Times New Roman"/>
        </w:rPr>
        <w:fldChar w:fldCharType="separate"/>
      </w:r>
      <w:r>
        <w:rPr>
          <w:rFonts w:hint="default" w:ascii="Times New Roman" w:hAnsi="Times New Roman" w:eastAsia="仿宋" w:cs="Times New Roman"/>
        </w:rPr>
        <w:t>23</w:t>
      </w:r>
      <w:r>
        <w:rPr>
          <w:rFonts w:hint="default" w:ascii="Times New Roman" w:hAnsi="Times New Roman" w:eastAsia="仿宋" w:cs="Times New Roman"/>
        </w:rPr>
        <w:fldChar w:fldCharType="end"/>
      </w:r>
      <w:r>
        <w:rPr>
          <w:rFonts w:hint="default" w:ascii="Times New Roman" w:hAnsi="Times New Roman" w:eastAsia="仿宋" w:cs="Times New Roman"/>
          <w:bCs w:val="0"/>
          <w:szCs w:val="32"/>
          <w:lang w:val="en-US" w:eastAsia="zh-CN"/>
        </w:rPr>
        <w:fldChar w:fldCharType="end"/>
      </w:r>
    </w:p>
    <w:p>
      <w:pPr>
        <w:pStyle w:val="9"/>
        <w:tabs>
          <w:tab w:val="right" w:leader="dot" w:pos="8788"/>
        </w:tabs>
        <w:ind w:firstLine="280" w:firstLineChars="100"/>
        <w:rPr>
          <w:rFonts w:hint="default" w:ascii="Times New Roman" w:hAnsi="Times New Roman" w:eastAsia="仿宋" w:cs="Times New Roman"/>
        </w:rPr>
      </w:pPr>
      <w:r>
        <w:rPr>
          <w:rFonts w:hint="default" w:ascii="Times New Roman" w:hAnsi="Times New Roman" w:eastAsia="仿宋" w:cs="Times New Roman"/>
          <w:bCs w:val="0"/>
          <w:szCs w:val="32"/>
          <w:lang w:val="en-US" w:eastAsia="zh-CN"/>
        </w:rPr>
        <w:fldChar w:fldCharType="begin"/>
      </w:r>
      <w:r>
        <w:rPr>
          <w:rFonts w:hint="default" w:ascii="Times New Roman" w:hAnsi="Times New Roman" w:eastAsia="仿宋" w:cs="Times New Roman"/>
          <w:bCs w:val="0"/>
          <w:szCs w:val="32"/>
          <w:lang w:val="en-US" w:eastAsia="zh-CN"/>
        </w:rPr>
        <w:instrText xml:space="preserve"> HYPERLINK \l _Toc15056 </w:instrText>
      </w:r>
      <w:r>
        <w:rPr>
          <w:rFonts w:hint="default" w:ascii="Times New Roman" w:hAnsi="Times New Roman" w:eastAsia="仿宋" w:cs="Times New Roman"/>
          <w:bCs w:val="0"/>
          <w:szCs w:val="32"/>
          <w:lang w:val="en-US" w:eastAsia="zh-CN"/>
        </w:rPr>
        <w:fldChar w:fldCharType="separate"/>
      </w:r>
      <w:r>
        <w:rPr>
          <w:rFonts w:hint="default" w:ascii="Times New Roman" w:hAnsi="Times New Roman" w:eastAsia="仿宋" w:cs="Times New Roman"/>
          <w:bCs/>
          <w:szCs w:val="30"/>
          <w:lang w:val="en-US" w:eastAsia="zh-CN"/>
        </w:rPr>
        <w:t>4.2 废气污染源执法监测情况</w:t>
      </w:r>
      <w:r>
        <w:rPr>
          <w:rFonts w:hint="default" w:ascii="Times New Roman" w:hAnsi="Times New Roman" w:eastAsia="仿宋" w:cs="Times New Roman"/>
        </w:rPr>
        <w:tab/>
      </w: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PAGEREF _Toc15056 \h </w:instrText>
      </w:r>
      <w:r>
        <w:rPr>
          <w:rFonts w:hint="default" w:ascii="Times New Roman" w:hAnsi="Times New Roman" w:eastAsia="仿宋" w:cs="Times New Roman"/>
        </w:rPr>
        <w:fldChar w:fldCharType="separate"/>
      </w:r>
      <w:r>
        <w:rPr>
          <w:rFonts w:hint="default" w:ascii="Times New Roman" w:hAnsi="Times New Roman" w:eastAsia="仿宋" w:cs="Times New Roman"/>
        </w:rPr>
        <w:t>23</w:t>
      </w:r>
      <w:r>
        <w:rPr>
          <w:rFonts w:hint="default" w:ascii="Times New Roman" w:hAnsi="Times New Roman" w:eastAsia="仿宋" w:cs="Times New Roman"/>
        </w:rPr>
        <w:fldChar w:fldCharType="end"/>
      </w:r>
      <w:r>
        <w:rPr>
          <w:rFonts w:hint="default" w:ascii="Times New Roman" w:hAnsi="Times New Roman" w:eastAsia="仿宋" w:cs="Times New Roman"/>
          <w:bCs w:val="0"/>
          <w:szCs w:val="32"/>
          <w:lang w:val="en-US" w:eastAsia="zh-CN"/>
        </w:rPr>
        <w:fldChar w:fldCharType="end"/>
      </w:r>
    </w:p>
    <w:p>
      <w:pPr>
        <w:pStyle w:val="9"/>
        <w:tabs>
          <w:tab w:val="right" w:leader="dot" w:pos="8788"/>
        </w:tabs>
        <w:ind w:firstLine="280" w:firstLineChars="100"/>
        <w:rPr>
          <w:rFonts w:hint="default" w:ascii="Times New Roman" w:hAnsi="Times New Roman" w:eastAsia="仿宋" w:cs="Times New Roman"/>
        </w:rPr>
      </w:pPr>
      <w:r>
        <w:rPr>
          <w:rFonts w:hint="default" w:ascii="Times New Roman" w:hAnsi="Times New Roman" w:eastAsia="仿宋" w:cs="Times New Roman"/>
          <w:bCs w:val="0"/>
          <w:szCs w:val="32"/>
          <w:lang w:val="en-US" w:eastAsia="zh-CN"/>
        </w:rPr>
        <w:fldChar w:fldCharType="begin"/>
      </w:r>
      <w:r>
        <w:rPr>
          <w:rFonts w:hint="default" w:ascii="Times New Roman" w:hAnsi="Times New Roman" w:eastAsia="仿宋" w:cs="Times New Roman"/>
          <w:bCs w:val="0"/>
          <w:szCs w:val="32"/>
          <w:lang w:val="en-US" w:eastAsia="zh-CN"/>
        </w:rPr>
        <w:instrText xml:space="preserve"> HYPERLINK \l _Toc10601 </w:instrText>
      </w:r>
      <w:r>
        <w:rPr>
          <w:rFonts w:hint="default" w:ascii="Times New Roman" w:hAnsi="Times New Roman" w:eastAsia="仿宋" w:cs="Times New Roman"/>
          <w:bCs w:val="0"/>
          <w:szCs w:val="32"/>
          <w:lang w:val="en-US" w:eastAsia="zh-CN"/>
        </w:rPr>
        <w:fldChar w:fldCharType="separate"/>
      </w:r>
      <w:r>
        <w:rPr>
          <w:rFonts w:hint="default" w:ascii="Times New Roman" w:hAnsi="Times New Roman" w:eastAsia="仿宋" w:cs="Times New Roman"/>
          <w:bCs/>
          <w:szCs w:val="30"/>
          <w:lang w:val="en-US" w:eastAsia="zh-CN"/>
        </w:rPr>
        <w:t>4.3 其他执法监测情况</w:t>
      </w:r>
      <w:r>
        <w:rPr>
          <w:rFonts w:hint="default" w:ascii="Times New Roman" w:hAnsi="Times New Roman" w:eastAsia="仿宋" w:cs="Times New Roman"/>
        </w:rPr>
        <w:tab/>
      </w: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PAGEREF _Toc10601 \h </w:instrText>
      </w:r>
      <w:r>
        <w:rPr>
          <w:rFonts w:hint="default" w:ascii="Times New Roman" w:hAnsi="Times New Roman" w:eastAsia="仿宋" w:cs="Times New Roman"/>
        </w:rPr>
        <w:fldChar w:fldCharType="separate"/>
      </w:r>
      <w:r>
        <w:rPr>
          <w:rFonts w:hint="default" w:ascii="Times New Roman" w:hAnsi="Times New Roman" w:eastAsia="仿宋" w:cs="Times New Roman"/>
        </w:rPr>
        <w:t>23</w:t>
      </w:r>
      <w:r>
        <w:rPr>
          <w:rFonts w:hint="default" w:ascii="Times New Roman" w:hAnsi="Times New Roman" w:eastAsia="仿宋" w:cs="Times New Roman"/>
        </w:rPr>
        <w:fldChar w:fldCharType="end"/>
      </w:r>
      <w:r>
        <w:rPr>
          <w:rFonts w:hint="default" w:ascii="Times New Roman" w:hAnsi="Times New Roman" w:eastAsia="仿宋" w:cs="Times New Roman"/>
          <w:bCs w:val="0"/>
          <w:szCs w:val="32"/>
          <w:lang w:val="en-US" w:eastAsia="zh-CN"/>
        </w:rPr>
        <w:fldChar w:fldCharType="end"/>
      </w:r>
    </w:p>
    <w:p>
      <w:pPr>
        <w:pStyle w:val="9"/>
        <w:tabs>
          <w:tab w:val="right" w:leader="dot" w:pos="8788"/>
        </w:tabs>
        <w:ind w:firstLine="280" w:firstLineChars="100"/>
        <w:rPr>
          <w:rFonts w:hint="default" w:ascii="Times New Roman" w:hAnsi="Times New Roman" w:cs="Times New Roman"/>
        </w:rPr>
      </w:pPr>
      <w:r>
        <w:rPr>
          <w:rFonts w:hint="default" w:ascii="Times New Roman" w:hAnsi="Times New Roman" w:eastAsia="仿宋" w:cs="Times New Roman"/>
          <w:bCs w:val="0"/>
          <w:szCs w:val="32"/>
          <w:lang w:val="en-US" w:eastAsia="zh-CN"/>
        </w:rPr>
        <w:fldChar w:fldCharType="begin"/>
      </w:r>
      <w:r>
        <w:rPr>
          <w:rFonts w:hint="default" w:ascii="Times New Roman" w:hAnsi="Times New Roman" w:eastAsia="仿宋" w:cs="Times New Roman"/>
          <w:bCs w:val="0"/>
          <w:szCs w:val="32"/>
          <w:lang w:val="en-US" w:eastAsia="zh-CN"/>
        </w:rPr>
        <w:instrText xml:space="preserve"> HYPERLINK \l _Toc20564 </w:instrText>
      </w:r>
      <w:r>
        <w:rPr>
          <w:rFonts w:hint="default" w:ascii="Times New Roman" w:hAnsi="Times New Roman" w:eastAsia="仿宋" w:cs="Times New Roman"/>
          <w:bCs w:val="0"/>
          <w:szCs w:val="32"/>
          <w:lang w:val="en-US" w:eastAsia="zh-CN"/>
        </w:rPr>
        <w:fldChar w:fldCharType="separate"/>
      </w:r>
      <w:r>
        <w:rPr>
          <w:rFonts w:hint="default" w:ascii="Times New Roman" w:hAnsi="Times New Roman" w:eastAsia="仿宋" w:cs="Times New Roman"/>
          <w:bCs/>
          <w:szCs w:val="30"/>
          <w:lang w:val="en-US" w:eastAsia="zh-CN"/>
        </w:rPr>
        <w:t>4.4 自动监测设备企业开展比对监测情况</w:t>
      </w:r>
      <w:r>
        <w:rPr>
          <w:rFonts w:hint="default" w:ascii="Times New Roman" w:hAnsi="Times New Roman" w:eastAsia="仿宋" w:cs="Times New Roman"/>
        </w:rPr>
        <w:tab/>
      </w: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PAGEREF _Toc20564 \h </w:instrText>
      </w:r>
      <w:r>
        <w:rPr>
          <w:rFonts w:hint="default" w:ascii="Times New Roman" w:hAnsi="Times New Roman" w:eastAsia="仿宋" w:cs="Times New Roman"/>
        </w:rPr>
        <w:fldChar w:fldCharType="separate"/>
      </w:r>
      <w:r>
        <w:rPr>
          <w:rFonts w:hint="default" w:ascii="Times New Roman" w:hAnsi="Times New Roman" w:eastAsia="仿宋" w:cs="Times New Roman"/>
        </w:rPr>
        <w:t>23</w:t>
      </w:r>
      <w:r>
        <w:rPr>
          <w:rFonts w:hint="default" w:ascii="Times New Roman" w:hAnsi="Times New Roman" w:eastAsia="仿宋" w:cs="Times New Roman"/>
        </w:rPr>
        <w:fldChar w:fldCharType="end"/>
      </w:r>
      <w:r>
        <w:rPr>
          <w:rFonts w:hint="default" w:ascii="Times New Roman" w:hAnsi="Times New Roman" w:eastAsia="仿宋" w:cs="Times New Roman"/>
          <w:bCs w:val="0"/>
          <w:szCs w:val="32"/>
          <w:lang w:val="en-US" w:eastAsia="zh-CN"/>
        </w:rPr>
        <w:fldChar w:fldCharType="end"/>
      </w:r>
    </w:p>
    <w:p>
      <w:pPr>
        <w:pStyle w:val="9"/>
        <w:keepNext w:val="0"/>
        <w:keepLines w:val="0"/>
        <w:pageBreakBefore w:val="0"/>
        <w:widowControl w:val="0"/>
        <w:tabs>
          <w:tab w:val="right" w:leader="dot" w:pos="8302"/>
        </w:tabs>
        <w:kinsoku/>
        <w:wordWrap/>
        <w:overflowPunct/>
        <w:topLinePunct w:val="0"/>
        <w:autoSpaceDE/>
        <w:autoSpaceDN/>
        <w:bidi w:val="0"/>
        <w:adjustRightInd/>
        <w:snapToGrid/>
        <w:spacing w:line="480" w:lineRule="exact"/>
        <w:ind w:firstLine="0" w:firstLineChars="0"/>
        <w:textAlignment w:val="auto"/>
        <w:rPr>
          <w:rFonts w:hint="default" w:ascii="Times New Roman" w:hAnsi="Times New Roman" w:eastAsia="仿宋" w:cs="Times New Roman"/>
          <w:bCs w:val="0"/>
          <w:szCs w:val="32"/>
          <w:lang w:val="en-US" w:eastAsia="zh-CN"/>
        </w:rPr>
        <w:sectPr>
          <w:pgSz w:w="11906" w:h="16838"/>
          <w:pgMar w:top="1984" w:right="1417" w:bottom="1701" w:left="1701" w:header="851" w:footer="992" w:gutter="0"/>
          <w:pgBorders>
            <w:top w:val="none" w:sz="0" w:space="0"/>
            <w:left w:val="none" w:sz="0" w:space="0"/>
            <w:bottom w:val="none" w:sz="0" w:space="0"/>
            <w:right w:val="none" w:sz="0" w:space="0"/>
          </w:pgBorders>
          <w:pgNumType w:start="1"/>
          <w:cols w:space="425" w:num="1"/>
          <w:docGrid w:type="lines" w:linePitch="312" w:charSpace="0"/>
        </w:sectPr>
      </w:pPr>
      <w:r>
        <w:rPr>
          <w:rFonts w:hint="default" w:ascii="Times New Roman" w:hAnsi="Times New Roman" w:eastAsia="仿宋" w:cs="Times New Roman"/>
          <w:bCs w:val="0"/>
          <w:szCs w:val="32"/>
          <w:lang w:val="en-US" w:eastAsia="zh-CN"/>
        </w:rPr>
        <w:fldChar w:fldCharType="end"/>
      </w:r>
    </w:p>
    <w:p>
      <w:pPr>
        <w:pStyle w:val="9"/>
        <w:keepNext w:val="0"/>
        <w:keepLines w:val="0"/>
        <w:pageBreakBefore w:val="0"/>
        <w:widowControl w:val="0"/>
        <w:tabs>
          <w:tab w:val="right" w:leader="dot" w:pos="8302"/>
        </w:tabs>
        <w:kinsoku/>
        <w:wordWrap/>
        <w:overflowPunct/>
        <w:topLinePunct w:val="0"/>
        <w:autoSpaceDE/>
        <w:autoSpaceDN/>
        <w:bidi w:val="0"/>
        <w:adjustRightInd/>
        <w:snapToGrid/>
        <w:spacing w:line="480" w:lineRule="exact"/>
        <w:ind w:firstLine="0" w:firstLineChars="0"/>
        <w:textAlignment w:val="auto"/>
        <w:rPr>
          <w:rFonts w:hint="default" w:ascii="Times New Roman" w:hAnsi="Times New Roman" w:cs="Times New Roman"/>
          <w:b/>
          <w:bCs/>
          <w:color w:val="008000"/>
          <w:sz w:val="36"/>
          <w:szCs w:val="36"/>
          <w:lang w:eastAsia="zh-CN"/>
        </w:rPr>
      </w:pPr>
    </w:p>
    <w:p>
      <w:pPr>
        <w:pStyle w:val="9"/>
        <w:keepNext w:val="0"/>
        <w:keepLines w:val="0"/>
        <w:pageBreakBefore w:val="0"/>
        <w:widowControl w:val="0"/>
        <w:tabs>
          <w:tab w:val="right" w:leader="dot" w:pos="8302"/>
        </w:tabs>
        <w:kinsoku/>
        <w:wordWrap/>
        <w:overflowPunct/>
        <w:topLinePunct w:val="0"/>
        <w:autoSpaceDE/>
        <w:autoSpaceDN/>
        <w:bidi w:val="0"/>
        <w:adjustRightInd/>
        <w:snapToGrid/>
        <w:spacing w:line="480" w:lineRule="exact"/>
        <w:ind w:firstLine="0" w:firstLineChars="0"/>
        <w:textAlignment w:val="auto"/>
        <w:rPr>
          <w:rFonts w:hint="default" w:ascii="Times New Roman" w:hAnsi="Times New Roman" w:cs="Times New Roman"/>
          <w:b/>
          <w:bCs/>
          <w:color w:val="008000"/>
          <w:sz w:val="36"/>
          <w:szCs w:val="36"/>
          <w:lang w:eastAsia="zh-CN"/>
        </w:rPr>
      </w:pPr>
    </w:p>
    <w:p>
      <w:pPr>
        <w:pStyle w:val="9"/>
        <w:keepNext w:val="0"/>
        <w:keepLines w:val="0"/>
        <w:pageBreakBefore w:val="0"/>
        <w:widowControl w:val="0"/>
        <w:tabs>
          <w:tab w:val="right" w:leader="dot" w:pos="8302"/>
        </w:tabs>
        <w:kinsoku/>
        <w:wordWrap/>
        <w:overflowPunct/>
        <w:topLinePunct w:val="0"/>
        <w:autoSpaceDE/>
        <w:autoSpaceDN/>
        <w:bidi w:val="0"/>
        <w:adjustRightInd/>
        <w:snapToGrid/>
        <w:spacing w:line="480" w:lineRule="exact"/>
        <w:ind w:firstLine="0" w:firstLineChars="0"/>
        <w:textAlignment w:val="auto"/>
        <w:rPr>
          <w:rFonts w:hint="default" w:ascii="Times New Roman" w:hAnsi="Times New Roman" w:cs="Times New Roman"/>
          <w:b/>
          <w:bCs/>
          <w:color w:val="008000"/>
          <w:sz w:val="36"/>
          <w:szCs w:val="36"/>
          <w:lang w:eastAsia="zh-CN"/>
        </w:rPr>
      </w:pPr>
    </w:p>
    <w:p>
      <w:pPr>
        <w:pStyle w:val="9"/>
        <w:keepNext w:val="0"/>
        <w:keepLines w:val="0"/>
        <w:pageBreakBefore w:val="0"/>
        <w:widowControl w:val="0"/>
        <w:tabs>
          <w:tab w:val="right" w:leader="dot" w:pos="8302"/>
        </w:tabs>
        <w:kinsoku/>
        <w:wordWrap/>
        <w:overflowPunct/>
        <w:topLinePunct w:val="0"/>
        <w:autoSpaceDE/>
        <w:autoSpaceDN/>
        <w:bidi w:val="0"/>
        <w:adjustRightInd/>
        <w:snapToGrid/>
        <w:spacing w:line="480" w:lineRule="exact"/>
        <w:ind w:firstLine="0" w:firstLineChars="0"/>
        <w:textAlignment w:val="auto"/>
        <w:rPr>
          <w:rFonts w:hint="default" w:ascii="Times New Roman" w:hAnsi="Times New Roman" w:cs="Times New Roman"/>
          <w:b/>
          <w:bCs/>
          <w:color w:val="008000"/>
          <w:sz w:val="36"/>
          <w:szCs w:val="36"/>
          <w:lang w:eastAsia="zh-CN"/>
        </w:rPr>
      </w:pPr>
    </w:p>
    <w:p>
      <w:pPr>
        <w:pStyle w:val="9"/>
        <w:keepNext w:val="0"/>
        <w:keepLines w:val="0"/>
        <w:pageBreakBefore w:val="0"/>
        <w:widowControl w:val="0"/>
        <w:tabs>
          <w:tab w:val="right" w:leader="dot" w:pos="8302"/>
        </w:tabs>
        <w:kinsoku/>
        <w:wordWrap/>
        <w:overflowPunct/>
        <w:topLinePunct w:val="0"/>
        <w:autoSpaceDE/>
        <w:autoSpaceDN/>
        <w:bidi w:val="0"/>
        <w:adjustRightInd/>
        <w:snapToGrid/>
        <w:spacing w:line="480" w:lineRule="exact"/>
        <w:ind w:firstLine="0" w:firstLineChars="0"/>
        <w:textAlignment w:val="auto"/>
        <w:rPr>
          <w:rFonts w:hint="default" w:ascii="Times New Roman" w:hAnsi="Times New Roman" w:cs="Times New Roman"/>
          <w:b/>
          <w:bCs/>
          <w:color w:val="008000"/>
          <w:sz w:val="36"/>
          <w:szCs w:val="36"/>
          <w:lang w:eastAsia="zh-CN"/>
        </w:rPr>
      </w:pPr>
    </w:p>
    <w:p>
      <w:pPr>
        <w:pStyle w:val="9"/>
        <w:keepNext w:val="0"/>
        <w:keepLines w:val="0"/>
        <w:pageBreakBefore w:val="0"/>
        <w:widowControl w:val="0"/>
        <w:tabs>
          <w:tab w:val="right" w:leader="dot" w:pos="8302"/>
        </w:tabs>
        <w:kinsoku/>
        <w:wordWrap/>
        <w:overflowPunct/>
        <w:topLinePunct w:val="0"/>
        <w:autoSpaceDE/>
        <w:autoSpaceDN/>
        <w:bidi w:val="0"/>
        <w:adjustRightInd/>
        <w:snapToGrid/>
        <w:spacing w:line="480" w:lineRule="exact"/>
        <w:ind w:firstLine="0" w:firstLineChars="0"/>
        <w:textAlignment w:val="auto"/>
        <w:rPr>
          <w:rFonts w:hint="default" w:ascii="Times New Roman" w:hAnsi="Times New Roman" w:cs="Times New Roman"/>
          <w:b/>
          <w:bCs/>
          <w:color w:val="008000"/>
          <w:sz w:val="36"/>
          <w:szCs w:val="36"/>
          <w:lang w:eastAsia="zh-CN"/>
        </w:rPr>
      </w:pPr>
    </w:p>
    <w:p>
      <w:pPr>
        <w:pStyle w:val="9"/>
        <w:keepNext w:val="0"/>
        <w:keepLines w:val="0"/>
        <w:pageBreakBefore w:val="0"/>
        <w:widowControl w:val="0"/>
        <w:tabs>
          <w:tab w:val="right" w:leader="dot" w:pos="8302"/>
        </w:tabs>
        <w:kinsoku/>
        <w:wordWrap/>
        <w:overflowPunct/>
        <w:topLinePunct w:val="0"/>
        <w:autoSpaceDE/>
        <w:autoSpaceDN/>
        <w:bidi w:val="0"/>
        <w:adjustRightInd/>
        <w:snapToGrid/>
        <w:spacing w:line="480" w:lineRule="exact"/>
        <w:ind w:firstLine="0" w:firstLineChars="0"/>
        <w:textAlignment w:val="auto"/>
        <w:rPr>
          <w:rFonts w:hint="default" w:ascii="Times New Roman" w:hAnsi="Times New Roman" w:cs="Times New Roman"/>
          <w:b/>
          <w:bCs/>
          <w:color w:val="008000"/>
          <w:sz w:val="36"/>
          <w:szCs w:val="36"/>
          <w:lang w:eastAsia="zh-CN"/>
        </w:rPr>
      </w:pPr>
    </w:p>
    <w:p>
      <w:pPr>
        <w:pStyle w:val="9"/>
        <w:keepNext w:val="0"/>
        <w:keepLines w:val="0"/>
        <w:pageBreakBefore w:val="0"/>
        <w:widowControl w:val="0"/>
        <w:tabs>
          <w:tab w:val="right" w:leader="dot" w:pos="8302"/>
        </w:tabs>
        <w:kinsoku/>
        <w:wordWrap/>
        <w:overflowPunct/>
        <w:topLinePunct w:val="0"/>
        <w:autoSpaceDE/>
        <w:autoSpaceDN/>
        <w:bidi w:val="0"/>
        <w:adjustRightInd/>
        <w:snapToGrid/>
        <w:spacing w:line="480" w:lineRule="exact"/>
        <w:ind w:firstLine="0" w:firstLineChars="0"/>
        <w:textAlignment w:val="auto"/>
        <w:rPr>
          <w:rFonts w:hint="default" w:ascii="Times New Roman" w:hAnsi="Times New Roman" w:cs="Times New Roman"/>
          <w:b/>
          <w:bCs/>
          <w:color w:val="008000"/>
          <w:sz w:val="36"/>
          <w:szCs w:val="36"/>
          <w:lang w:eastAsia="zh-CN"/>
        </w:rPr>
      </w:pPr>
    </w:p>
    <w:p>
      <w:pPr>
        <w:pStyle w:val="9"/>
        <w:keepNext w:val="0"/>
        <w:keepLines w:val="0"/>
        <w:pageBreakBefore w:val="0"/>
        <w:widowControl w:val="0"/>
        <w:tabs>
          <w:tab w:val="right" w:leader="dot" w:pos="8302"/>
        </w:tabs>
        <w:kinsoku/>
        <w:wordWrap/>
        <w:overflowPunct/>
        <w:topLinePunct w:val="0"/>
        <w:autoSpaceDE/>
        <w:autoSpaceDN/>
        <w:bidi w:val="0"/>
        <w:adjustRightInd/>
        <w:snapToGrid/>
        <w:spacing w:line="480" w:lineRule="exact"/>
        <w:ind w:firstLine="0" w:firstLineChars="0"/>
        <w:textAlignment w:val="auto"/>
        <w:rPr>
          <w:rFonts w:hint="default" w:ascii="Times New Roman" w:hAnsi="Times New Roman" w:cs="Times New Roman"/>
          <w:b/>
          <w:bCs/>
          <w:color w:val="008000"/>
          <w:sz w:val="36"/>
          <w:szCs w:val="36"/>
          <w:lang w:eastAsia="zh-CN"/>
        </w:rPr>
      </w:pPr>
    </w:p>
    <w:p>
      <w:pPr>
        <w:pStyle w:val="9"/>
        <w:keepNext w:val="0"/>
        <w:keepLines w:val="0"/>
        <w:pageBreakBefore w:val="0"/>
        <w:widowControl w:val="0"/>
        <w:tabs>
          <w:tab w:val="right" w:leader="dot" w:pos="8302"/>
        </w:tabs>
        <w:kinsoku/>
        <w:wordWrap/>
        <w:overflowPunct/>
        <w:topLinePunct w:val="0"/>
        <w:autoSpaceDE/>
        <w:autoSpaceDN/>
        <w:bidi w:val="0"/>
        <w:adjustRightInd/>
        <w:snapToGrid/>
        <w:spacing w:line="480" w:lineRule="exact"/>
        <w:ind w:firstLine="0" w:firstLineChars="0"/>
        <w:textAlignment w:val="auto"/>
        <w:rPr>
          <w:rFonts w:hint="default" w:ascii="Times New Roman" w:hAnsi="Times New Roman" w:cs="Times New Roman"/>
          <w:b/>
          <w:bCs/>
          <w:color w:val="008000"/>
          <w:sz w:val="36"/>
          <w:szCs w:val="36"/>
          <w:lang w:eastAsia="zh-CN"/>
        </w:rPr>
      </w:pPr>
    </w:p>
    <w:p>
      <w:pPr>
        <w:pStyle w:val="9"/>
        <w:keepNext w:val="0"/>
        <w:keepLines w:val="0"/>
        <w:pageBreakBefore w:val="0"/>
        <w:widowControl w:val="0"/>
        <w:tabs>
          <w:tab w:val="right" w:leader="dot" w:pos="8302"/>
        </w:tabs>
        <w:kinsoku/>
        <w:wordWrap/>
        <w:overflowPunct/>
        <w:topLinePunct w:val="0"/>
        <w:autoSpaceDE/>
        <w:autoSpaceDN/>
        <w:bidi w:val="0"/>
        <w:adjustRightInd/>
        <w:snapToGrid/>
        <w:spacing w:line="480" w:lineRule="exact"/>
        <w:ind w:firstLine="0" w:firstLineChars="0"/>
        <w:textAlignment w:val="auto"/>
        <w:rPr>
          <w:rFonts w:hint="default" w:ascii="Times New Roman" w:hAnsi="Times New Roman" w:cs="Times New Roman"/>
          <w:b/>
          <w:bCs/>
          <w:color w:val="008000"/>
          <w:sz w:val="36"/>
          <w:szCs w:val="36"/>
          <w:lang w:eastAsia="zh-CN"/>
        </w:rPr>
      </w:pPr>
    </w:p>
    <w:p>
      <w:pPr>
        <w:pStyle w:val="9"/>
        <w:keepNext w:val="0"/>
        <w:keepLines w:val="0"/>
        <w:pageBreakBefore w:val="0"/>
        <w:widowControl w:val="0"/>
        <w:tabs>
          <w:tab w:val="right" w:leader="dot" w:pos="8302"/>
        </w:tabs>
        <w:kinsoku/>
        <w:wordWrap/>
        <w:overflowPunct/>
        <w:topLinePunct w:val="0"/>
        <w:autoSpaceDE/>
        <w:autoSpaceDN/>
        <w:bidi w:val="0"/>
        <w:adjustRightInd/>
        <w:snapToGrid/>
        <w:spacing w:line="480" w:lineRule="exact"/>
        <w:ind w:firstLine="0" w:firstLineChars="0"/>
        <w:textAlignment w:val="auto"/>
        <w:rPr>
          <w:rFonts w:hint="default" w:ascii="Times New Roman" w:hAnsi="Times New Roman" w:cs="Times New Roman"/>
          <w:b/>
          <w:bCs/>
          <w:color w:val="008000"/>
          <w:sz w:val="36"/>
          <w:szCs w:val="36"/>
          <w:lang w:eastAsia="zh-CN"/>
        </w:rPr>
      </w:pPr>
    </w:p>
    <w:p>
      <w:pPr>
        <w:pStyle w:val="9"/>
        <w:keepNext w:val="0"/>
        <w:keepLines w:val="0"/>
        <w:pageBreakBefore w:val="0"/>
        <w:widowControl w:val="0"/>
        <w:tabs>
          <w:tab w:val="right" w:leader="dot" w:pos="8302"/>
        </w:tabs>
        <w:kinsoku/>
        <w:wordWrap/>
        <w:overflowPunct/>
        <w:topLinePunct w:val="0"/>
        <w:autoSpaceDE/>
        <w:autoSpaceDN/>
        <w:bidi w:val="0"/>
        <w:adjustRightInd/>
        <w:snapToGrid/>
        <w:spacing w:line="480" w:lineRule="exact"/>
        <w:ind w:firstLine="0" w:firstLineChars="0"/>
        <w:textAlignment w:val="auto"/>
        <w:rPr>
          <w:rFonts w:hint="default" w:ascii="Times New Roman" w:hAnsi="Times New Roman" w:cs="Times New Roman"/>
          <w:b/>
          <w:bCs/>
          <w:color w:val="008000"/>
          <w:sz w:val="36"/>
          <w:szCs w:val="36"/>
          <w:lang w:eastAsia="zh-CN"/>
        </w:rPr>
      </w:pPr>
    </w:p>
    <w:p>
      <w:pPr>
        <w:pStyle w:val="9"/>
        <w:keepNext w:val="0"/>
        <w:keepLines w:val="0"/>
        <w:pageBreakBefore w:val="0"/>
        <w:widowControl w:val="0"/>
        <w:tabs>
          <w:tab w:val="right" w:leader="dot" w:pos="8302"/>
        </w:tabs>
        <w:kinsoku/>
        <w:wordWrap/>
        <w:overflowPunct/>
        <w:topLinePunct w:val="0"/>
        <w:autoSpaceDE/>
        <w:autoSpaceDN/>
        <w:bidi w:val="0"/>
        <w:adjustRightInd/>
        <w:snapToGrid/>
        <w:spacing w:line="480" w:lineRule="exact"/>
        <w:ind w:firstLine="0" w:firstLineChars="0"/>
        <w:textAlignment w:val="auto"/>
        <w:rPr>
          <w:rFonts w:hint="default" w:ascii="Times New Roman" w:hAnsi="Times New Roman" w:cs="Times New Roman"/>
          <w:b/>
          <w:bCs/>
          <w:color w:val="008000"/>
          <w:sz w:val="36"/>
          <w:szCs w:val="36"/>
          <w:lang w:eastAsia="zh-CN"/>
        </w:rPr>
      </w:pPr>
    </w:p>
    <w:p>
      <w:pPr>
        <w:pStyle w:val="9"/>
        <w:keepNext w:val="0"/>
        <w:keepLines w:val="0"/>
        <w:pageBreakBefore w:val="0"/>
        <w:widowControl w:val="0"/>
        <w:tabs>
          <w:tab w:val="right" w:leader="dot" w:pos="8302"/>
        </w:tabs>
        <w:kinsoku/>
        <w:wordWrap/>
        <w:overflowPunct/>
        <w:topLinePunct w:val="0"/>
        <w:autoSpaceDE/>
        <w:autoSpaceDN/>
        <w:bidi w:val="0"/>
        <w:adjustRightInd/>
        <w:snapToGrid/>
        <w:spacing w:line="480" w:lineRule="exact"/>
        <w:ind w:firstLine="0" w:firstLineChars="0"/>
        <w:textAlignment w:val="auto"/>
        <w:rPr>
          <w:rFonts w:hint="default" w:ascii="Times New Roman" w:hAnsi="Times New Roman" w:cs="Times New Roman"/>
          <w:b/>
          <w:bCs/>
          <w:color w:val="008000"/>
          <w:sz w:val="36"/>
          <w:szCs w:val="36"/>
          <w:lang w:eastAsia="zh-CN"/>
        </w:rPr>
      </w:pPr>
    </w:p>
    <w:p>
      <w:pPr>
        <w:pStyle w:val="9"/>
        <w:keepNext w:val="0"/>
        <w:keepLines w:val="0"/>
        <w:pageBreakBefore w:val="0"/>
        <w:widowControl w:val="0"/>
        <w:tabs>
          <w:tab w:val="right" w:leader="dot" w:pos="8302"/>
        </w:tabs>
        <w:kinsoku/>
        <w:wordWrap/>
        <w:overflowPunct/>
        <w:topLinePunct w:val="0"/>
        <w:autoSpaceDE/>
        <w:autoSpaceDN/>
        <w:bidi w:val="0"/>
        <w:adjustRightInd/>
        <w:snapToGrid/>
        <w:spacing w:line="480" w:lineRule="exact"/>
        <w:ind w:firstLine="0" w:firstLineChars="0"/>
        <w:textAlignment w:val="auto"/>
        <w:rPr>
          <w:rFonts w:hint="default" w:ascii="Times New Roman" w:hAnsi="Times New Roman" w:cs="Times New Roman"/>
          <w:b/>
          <w:bCs/>
          <w:color w:val="008000"/>
          <w:sz w:val="36"/>
          <w:szCs w:val="36"/>
          <w:lang w:eastAsia="zh-CN"/>
        </w:rPr>
      </w:pPr>
    </w:p>
    <w:p>
      <w:pPr>
        <w:pStyle w:val="9"/>
        <w:keepNext w:val="0"/>
        <w:keepLines w:val="0"/>
        <w:pageBreakBefore w:val="0"/>
        <w:widowControl w:val="0"/>
        <w:tabs>
          <w:tab w:val="right" w:leader="dot" w:pos="8302"/>
        </w:tabs>
        <w:kinsoku/>
        <w:wordWrap/>
        <w:overflowPunct/>
        <w:topLinePunct w:val="0"/>
        <w:autoSpaceDE/>
        <w:autoSpaceDN/>
        <w:bidi w:val="0"/>
        <w:adjustRightInd/>
        <w:snapToGrid/>
        <w:spacing w:line="480" w:lineRule="exact"/>
        <w:ind w:firstLine="0" w:firstLineChars="0"/>
        <w:textAlignment w:val="auto"/>
        <w:rPr>
          <w:rFonts w:hint="default" w:ascii="Times New Roman" w:hAnsi="Times New Roman" w:cs="Times New Roman"/>
          <w:b/>
          <w:bCs/>
          <w:color w:val="008000"/>
          <w:sz w:val="36"/>
          <w:szCs w:val="36"/>
          <w:lang w:eastAsia="zh-CN"/>
        </w:rPr>
      </w:pPr>
    </w:p>
    <w:p>
      <w:pPr>
        <w:pStyle w:val="9"/>
        <w:keepNext w:val="0"/>
        <w:keepLines w:val="0"/>
        <w:pageBreakBefore w:val="0"/>
        <w:widowControl w:val="0"/>
        <w:tabs>
          <w:tab w:val="right" w:leader="dot" w:pos="8302"/>
        </w:tabs>
        <w:kinsoku/>
        <w:wordWrap/>
        <w:overflowPunct/>
        <w:topLinePunct w:val="0"/>
        <w:autoSpaceDE/>
        <w:autoSpaceDN/>
        <w:bidi w:val="0"/>
        <w:adjustRightInd/>
        <w:snapToGrid/>
        <w:spacing w:line="480" w:lineRule="exact"/>
        <w:ind w:firstLine="0" w:firstLineChars="0"/>
        <w:textAlignment w:val="auto"/>
        <w:rPr>
          <w:rFonts w:hint="default" w:ascii="Times New Roman" w:hAnsi="Times New Roman" w:cs="Times New Roman"/>
          <w:b/>
          <w:bCs/>
          <w:color w:val="008000"/>
          <w:sz w:val="36"/>
          <w:szCs w:val="36"/>
          <w:lang w:eastAsia="zh-CN"/>
        </w:rPr>
      </w:pPr>
    </w:p>
    <w:p>
      <w:pPr>
        <w:pStyle w:val="9"/>
        <w:keepNext w:val="0"/>
        <w:keepLines w:val="0"/>
        <w:pageBreakBefore w:val="0"/>
        <w:widowControl w:val="0"/>
        <w:tabs>
          <w:tab w:val="right" w:leader="dot" w:pos="8302"/>
        </w:tabs>
        <w:kinsoku/>
        <w:wordWrap/>
        <w:overflowPunct/>
        <w:topLinePunct w:val="0"/>
        <w:autoSpaceDE/>
        <w:autoSpaceDN/>
        <w:bidi w:val="0"/>
        <w:adjustRightInd/>
        <w:snapToGrid/>
        <w:spacing w:line="480" w:lineRule="exact"/>
        <w:ind w:firstLine="0" w:firstLineChars="0"/>
        <w:textAlignment w:val="auto"/>
        <w:rPr>
          <w:rFonts w:hint="default" w:ascii="Times New Roman" w:hAnsi="Times New Roman" w:cs="Times New Roman"/>
          <w:b/>
          <w:bCs/>
          <w:color w:val="008000"/>
          <w:sz w:val="36"/>
          <w:szCs w:val="36"/>
          <w:lang w:eastAsia="zh-CN"/>
        </w:rPr>
      </w:pPr>
    </w:p>
    <w:p>
      <w:pPr>
        <w:pStyle w:val="9"/>
        <w:keepNext w:val="0"/>
        <w:keepLines w:val="0"/>
        <w:pageBreakBefore w:val="0"/>
        <w:widowControl w:val="0"/>
        <w:tabs>
          <w:tab w:val="right" w:leader="dot" w:pos="8302"/>
        </w:tabs>
        <w:kinsoku/>
        <w:wordWrap/>
        <w:overflowPunct/>
        <w:topLinePunct w:val="0"/>
        <w:autoSpaceDE/>
        <w:autoSpaceDN/>
        <w:bidi w:val="0"/>
        <w:adjustRightInd/>
        <w:snapToGrid/>
        <w:spacing w:line="480" w:lineRule="exact"/>
        <w:ind w:firstLine="0" w:firstLineChars="0"/>
        <w:textAlignment w:val="auto"/>
        <w:rPr>
          <w:rFonts w:hint="default" w:ascii="Times New Roman" w:hAnsi="Times New Roman" w:cs="Times New Roman"/>
          <w:b/>
          <w:bCs/>
          <w:color w:val="008000"/>
          <w:sz w:val="36"/>
          <w:szCs w:val="36"/>
          <w:lang w:eastAsia="zh-CN"/>
        </w:rPr>
      </w:pPr>
    </w:p>
    <w:p>
      <w:pPr>
        <w:pStyle w:val="9"/>
        <w:keepNext w:val="0"/>
        <w:keepLines w:val="0"/>
        <w:pageBreakBefore w:val="0"/>
        <w:widowControl w:val="0"/>
        <w:tabs>
          <w:tab w:val="right" w:leader="dot" w:pos="8302"/>
        </w:tabs>
        <w:kinsoku/>
        <w:wordWrap/>
        <w:overflowPunct/>
        <w:topLinePunct w:val="0"/>
        <w:autoSpaceDE/>
        <w:autoSpaceDN/>
        <w:bidi w:val="0"/>
        <w:adjustRightInd/>
        <w:snapToGrid/>
        <w:spacing w:line="480" w:lineRule="exact"/>
        <w:ind w:firstLine="0" w:firstLineChars="0"/>
        <w:textAlignment w:val="auto"/>
        <w:rPr>
          <w:rFonts w:hint="default" w:ascii="Times New Roman" w:hAnsi="Times New Roman" w:cs="Times New Roman"/>
          <w:b/>
          <w:bCs/>
          <w:color w:val="008000"/>
          <w:sz w:val="36"/>
          <w:szCs w:val="36"/>
          <w:lang w:eastAsia="zh-CN"/>
        </w:rPr>
      </w:pPr>
    </w:p>
    <w:p>
      <w:pPr>
        <w:pStyle w:val="9"/>
        <w:keepNext w:val="0"/>
        <w:keepLines w:val="0"/>
        <w:pageBreakBefore w:val="0"/>
        <w:widowControl w:val="0"/>
        <w:tabs>
          <w:tab w:val="right" w:leader="dot" w:pos="8302"/>
        </w:tabs>
        <w:kinsoku/>
        <w:wordWrap/>
        <w:overflowPunct/>
        <w:topLinePunct w:val="0"/>
        <w:autoSpaceDE/>
        <w:autoSpaceDN/>
        <w:bidi w:val="0"/>
        <w:adjustRightInd/>
        <w:snapToGrid/>
        <w:spacing w:line="480" w:lineRule="exact"/>
        <w:ind w:firstLine="0" w:firstLineChars="0"/>
        <w:textAlignment w:val="auto"/>
        <w:rPr>
          <w:rFonts w:hint="default" w:ascii="Times New Roman" w:hAnsi="Times New Roman" w:cs="Times New Roman"/>
          <w:b/>
          <w:bCs/>
          <w:color w:val="008000"/>
          <w:sz w:val="36"/>
          <w:szCs w:val="36"/>
          <w:lang w:eastAsia="zh-CN"/>
        </w:rPr>
      </w:pPr>
    </w:p>
    <w:p>
      <w:pPr>
        <w:pStyle w:val="9"/>
        <w:keepNext w:val="0"/>
        <w:keepLines w:val="0"/>
        <w:pageBreakBefore w:val="0"/>
        <w:widowControl w:val="0"/>
        <w:tabs>
          <w:tab w:val="right" w:leader="dot" w:pos="8302"/>
        </w:tabs>
        <w:kinsoku/>
        <w:wordWrap/>
        <w:overflowPunct/>
        <w:topLinePunct w:val="0"/>
        <w:autoSpaceDE/>
        <w:autoSpaceDN/>
        <w:bidi w:val="0"/>
        <w:adjustRightInd/>
        <w:snapToGrid/>
        <w:spacing w:line="480" w:lineRule="exact"/>
        <w:ind w:firstLine="0" w:firstLineChars="0"/>
        <w:textAlignment w:val="auto"/>
        <w:rPr>
          <w:rFonts w:hint="default" w:ascii="Times New Roman" w:hAnsi="Times New Roman" w:cs="Times New Roman"/>
          <w:b/>
          <w:bCs/>
          <w:color w:val="008000"/>
          <w:sz w:val="36"/>
          <w:szCs w:val="36"/>
          <w:lang w:eastAsia="zh-CN"/>
        </w:rPr>
      </w:pPr>
    </w:p>
    <w:p>
      <w:pPr>
        <w:pStyle w:val="9"/>
        <w:keepNext w:val="0"/>
        <w:keepLines w:val="0"/>
        <w:pageBreakBefore w:val="0"/>
        <w:widowControl w:val="0"/>
        <w:tabs>
          <w:tab w:val="right" w:leader="dot" w:pos="8302"/>
        </w:tabs>
        <w:kinsoku/>
        <w:wordWrap/>
        <w:overflowPunct/>
        <w:topLinePunct w:val="0"/>
        <w:autoSpaceDE/>
        <w:autoSpaceDN/>
        <w:bidi w:val="0"/>
        <w:adjustRightInd/>
        <w:snapToGrid/>
        <w:spacing w:line="480" w:lineRule="exact"/>
        <w:ind w:firstLine="0" w:firstLineChars="0"/>
        <w:textAlignment w:val="auto"/>
        <w:rPr>
          <w:rFonts w:hint="default" w:ascii="Times New Roman" w:hAnsi="Times New Roman" w:cs="Times New Roman"/>
          <w:b/>
          <w:bCs/>
          <w:color w:val="008000"/>
          <w:sz w:val="36"/>
          <w:szCs w:val="36"/>
          <w:lang w:eastAsia="zh-CN"/>
        </w:rPr>
      </w:pPr>
    </w:p>
    <w:p>
      <w:pPr>
        <w:pStyle w:val="9"/>
        <w:keepNext w:val="0"/>
        <w:keepLines w:val="0"/>
        <w:pageBreakBefore w:val="0"/>
        <w:widowControl w:val="0"/>
        <w:tabs>
          <w:tab w:val="right" w:leader="dot" w:pos="8302"/>
        </w:tabs>
        <w:kinsoku/>
        <w:wordWrap/>
        <w:overflowPunct/>
        <w:topLinePunct w:val="0"/>
        <w:autoSpaceDE/>
        <w:autoSpaceDN/>
        <w:bidi w:val="0"/>
        <w:adjustRightInd/>
        <w:snapToGrid/>
        <w:spacing w:line="480" w:lineRule="exact"/>
        <w:ind w:firstLine="0" w:firstLineChars="0"/>
        <w:textAlignment w:val="auto"/>
        <w:rPr>
          <w:rFonts w:hint="default" w:ascii="Times New Roman" w:hAnsi="Times New Roman" w:cs="Times New Roman"/>
          <w:b/>
          <w:bCs/>
          <w:color w:val="008000"/>
          <w:sz w:val="36"/>
          <w:szCs w:val="36"/>
          <w:lang w:eastAsia="zh-CN"/>
        </w:rPr>
      </w:pPr>
    </w:p>
    <w:p>
      <w:pPr>
        <w:pStyle w:val="9"/>
        <w:keepNext w:val="0"/>
        <w:keepLines w:val="0"/>
        <w:pageBreakBefore w:val="0"/>
        <w:widowControl w:val="0"/>
        <w:tabs>
          <w:tab w:val="right" w:leader="dot" w:pos="8302"/>
        </w:tabs>
        <w:kinsoku/>
        <w:wordWrap/>
        <w:overflowPunct/>
        <w:topLinePunct w:val="0"/>
        <w:autoSpaceDE/>
        <w:autoSpaceDN/>
        <w:bidi w:val="0"/>
        <w:adjustRightInd/>
        <w:snapToGrid/>
        <w:spacing w:line="480" w:lineRule="exact"/>
        <w:ind w:firstLine="0" w:firstLineChars="0"/>
        <w:textAlignment w:val="auto"/>
        <w:rPr>
          <w:rFonts w:hint="default" w:ascii="Times New Roman" w:hAnsi="Times New Roman" w:cs="Times New Roman"/>
          <w:b/>
          <w:bCs/>
          <w:color w:val="008000"/>
          <w:sz w:val="36"/>
          <w:szCs w:val="36"/>
          <w:lang w:eastAsia="zh-CN"/>
        </w:rPr>
      </w:pPr>
    </w:p>
    <w:p>
      <w:pPr>
        <w:pStyle w:val="9"/>
        <w:keepNext w:val="0"/>
        <w:keepLines w:val="0"/>
        <w:pageBreakBefore w:val="0"/>
        <w:widowControl w:val="0"/>
        <w:tabs>
          <w:tab w:val="right" w:leader="dot" w:pos="8302"/>
        </w:tabs>
        <w:kinsoku/>
        <w:wordWrap/>
        <w:overflowPunct/>
        <w:topLinePunct w:val="0"/>
        <w:autoSpaceDE/>
        <w:autoSpaceDN/>
        <w:bidi w:val="0"/>
        <w:adjustRightInd/>
        <w:snapToGrid/>
        <w:spacing w:line="480" w:lineRule="exact"/>
        <w:ind w:firstLine="0" w:firstLineChars="0"/>
        <w:textAlignment w:val="auto"/>
        <w:rPr>
          <w:rFonts w:hint="default" w:ascii="Times New Roman" w:hAnsi="Times New Roman" w:cs="Times New Roman"/>
          <w:b/>
          <w:bCs/>
          <w:color w:val="008000"/>
          <w:sz w:val="36"/>
          <w:szCs w:val="36"/>
          <w:lang w:eastAsia="zh-CN"/>
        </w:rPr>
      </w:pPr>
    </w:p>
    <w:p>
      <w:pPr>
        <w:pStyle w:val="9"/>
        <w:keepNext w:val="0"/>
        <w:keepLines w:val="0"/>
        <w:pageBreakBefore w:val="0"/>
        <w:widowControl w:val="0"/>
        <w:tabs>
          <w:tab w:val="right" w:leader="dot" w:pos="8302"/>
        </w:tabs>
        <w:kinsoku/>
        <w:wordWrap/>
        <w:overflowPunct/>
        <w:topLinePunct w:val="0"/>
        <w:autoSpaceDE/>
        <w:autoSpaceDN/>
        <w:bidi w:val="0"/>
        <w:adjustRightInd/>
        <w:snapToGrid/>
        <w:spacing w:line="480" w:lineRule="exact"/>
        <w:ind w:firstLine="0" w:firstLineChars="0"/>
        <w:textAlignment w:val="auto"/>
        <w:rPr>
          <w:rFonts w:hint="default" w:ascii="Times New Roman" w:hAnsi="Times New Roman" w:cs="Times New Roman"/>
          <w:b/>
          <w:bCs/>
          <w:color w:val="008000"/>
          <w:sz w:val="36"/>
          <w:szCs w:val="36"/>
          <w:lang w:eastAsia="zh-CN"/>
        </w:rPr>
        <w:sectPr>
          <w:footerReference r:id="rId6" w:type="default"/>
          <w:pgSz w:w="11906" w:h="16838"/>
          <w:pgMar w:top="1984" w:right="1417" w:bottom="1701" w:left="1701"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pStyle w:val="9"/>
        <w:keepNext w:val="0"/>
        <w:keepLines w:val="0"/>
        <w:pageBreakBefore w:val="0"/>
        <w:widowControl w:val="0"/>
        <w:tabs>
          <w:tab w:val="right" w:leader="dot" w:pos="8302"/>
        </w:tabs>
        <w:kinsoku/>
        <w:wordWrap/>
        <w:overflowPunct/>
        <w:topLinePunct w:val="0"/>
        <w:autoSpaceDE/>
        <w:autoSpaceDN/>
        <w:bidi w:val="0"/>
        <w:adjustRightInd/>
        <w:snapToGrid/>
        <w:spacing w:line="480" w:lineRule="exact"/>
        <w:ind w:firstLine="0" w:firstLineChars="0"/>
        <w:textAlignment w:val="auto"/>
        <w:rPr>
          <w:rFonts w:hint="default" w:ascii="Times New Roman" w:hAnsi="Times New Roman" w:eastAsia="仿宋_GB2312" w:cs="Times New Roman"/>
          <w:b/>
          <w:bCs/>
          <w:color w:val="008000"/>
          <w:sz w:val="36"/>
          <w:szCs w:val="36"/>
          <w:lang w:eastAsia="zh-CN"/>
        </w:rPr>
      </w:pPr>
      <w:r>
        <w:rPr>
          <w:rFonts w:hint="default" w:ascii="Times New Roman" w:hAnsi="Times New Roman" w:cs="Times New Roman"/>
          <w:b/>
          <w:bCs/>
          <w:color w:val="008000"/>
          <w:sz w:val="36"/>
          <w:szCs w:val="36"/>
          <w:lang w:eastAsia="zh-CN"/>
        </w:rPr>
        <w:t>吉林省</w:t>
      </w:r>
      <w:r>
        <w:rPr>
          <w:rFonts w:hint="default" w:ascii="Times New Roman" w:hAnsi="Times New Roman" w:cs="Times New Roman"/>
          <w:b/>
          <w:bCs/>
          <w:color w:val="008000"/>
          <w:sz w:val="36"/>
          <w:szCs w:val="36"/>
        </w:rPr>
        <w:t>20</w:t>
      </w:r>
      <w:r>
        <w:rPr>
          <w:rFonts w:hint="default" w:ascii="Times New Roman" w:hAnsi="Times New Roman" w:cs="Times New Roman"/>
          <w:b/>
          <w:bCs/>
          <w:color w:val="008000"/>
          <w:sz w:val="36"/>
          <w:szCs w:val="36"/>
          <w:lang w:val="en-US" w:eastAsia="zh-CN"/>
        </w:rPr>
        <w:t>22年度污</w:t>
      </w:r>
      <w:r>
        <w:rPr>
          <w:rFonts w:hint="default" w:ascii="Times New Roman" w:hAnsi="Times New Roman" w:cs="Times New Roman"/>
          <w:b/>
          <w:bCs/>
          <w:color w:val="008000"/>
          <w:sz w:val="36"/>
          <w:szCs w:val="36"/>
        </w:rPr>
        <w:t>染源</w:t>
      </w:r>
      <w:r>
        <w:rPr>
          <w:rFonts w:hint="default" w:ascii="Times New Roman" w:hAnsi="Times New Roman" w:cs="Times New Roman"/>
          <w:b/>
          <w:bCs/>
          <w:color w:val="008000"/>
          <w:sz w:val="36"/>
          <w:szCs w:val="36"/>
          <w:lang w:eastAsia="zh-CN"/>
        </w:rPr>
        <w:t>执法</w:t>
      </w:r>
      <w:r>
        <w:rPr>
          <w:rFonts w:hint="default" w:ascii="Times New Roman" w:hAnsi="Times New Roman" w:cs="Times New Roman"/>
          <w:b/>
          <w:bCs/>
          <w:color w:val="008000"/>
          <w:sz w:val="36"/>
          <w:szCs w:val="36"/>
        </w:rPr>
        <w:t>监测及比对</w:t>
      </w:r>
      <w:r>
        <w:rPr>
          <w:rFonts w:hint="default" w:ascii="Times New Roman" w:hAnsi="Times New Roman" w:cs="Times New Roman"/>
          <w:b/>
          <w:bCs/>
          <w:color w:val="008000"/>
          <w:sz w:val="36"/>
          <w:szCs w:val="36"/>
          <w:lang w:eastAsia="zh-CN"/>
        </w:rPr>
        <w:t>报告</w:t>
      </w:r>
    </w:p>
    <w:p>
      <w:pPr>
        <w:spacing w:line="520" w:lineRule="exact"/>
        <w:ind w:left="0" w:leftChars="0" w:right="45" w:rightChars="16" w:firstLine="0" w:firstLineChars="0"/>
        <w:rPr>
          <w:rFonts w:hint="default" w:ascii="Times New Roman" w:hAnsi="Times New Roman" w:eastAsia="仿宋_GB2312" w:cs="Times New Roman"/>
          <w:b/>
          <w:bCs/>
          <w:sz w:val="32"/>
          <w:szCs w:val="32"/>
        </w:rPr>
      </w:pPr>
      <w:r>
        <w:rPr>
          <w:rFonts w:hint="default" w:ascii="Times New Roman" w:hAnsi="Times New Roman" w:eastAsia="仿宋_GB2312" w:cs="Times New Roman"/>
          <w:sz w:val="32"/>
          <w:szCs w:val="32"/>
        </w:rPr>
        <mc:AlternateContent>
          <mc:Choice Requires="wps">
            <w:drawing>
              <wp:anchor distT="0" distB="0" distL="114300" distR="114300" simplePos="0" relativeHeight="251659264" behindDoc="0" locked="0" layoutInCell="1" allowOverlap="1">
                <wp:simplePos x="0" y="0"/>
                <wp:positionH relativeFrom="column">
                  <wp:posOffset>-106680</wp:posOffset>
                </wp:positionH>
                <wp:positionV relativeFrom="paragraph">
                  <wp:posOffset>287020</wp:posOffset>
                </wp:positionV>
                <wp:extent cx="5593080" cy="5080"/>
                <wp:effectExtent l="0" t="0" r="0" b="0"/>
                <wp:wrapNone/>
                <wp:docPr id="1" name="直接连接符 1"/>
                <wp:cNvGraphicFramePr/>
                <a:graphic xmlns:a="http://schemas.openxmlformats.org/drawingml/2006/main">
                  <a:graphicData uri="http://schemas.microsoft.com/office/word/2010/wordprocessingShape">
                    <wps:wsp>
                      <wps:cNvCnPr/>
                      <wps:spPr>
                        <a:xfrm>
                          <a:off x="0" y="0"/>
                          <a:ext cx="5593080" cy="5080"/>
                        </a:xfrm>
                        <a:prstGeom prst="line">
                          <a:avLst/>
                        </a:prstGeom>
                        <a:ln w="12700" cap="flat" cmpd="sng">
                          <a:solidFill>
                            <a:srgbClr val="008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4pt;margin-top:22.6pt;height:0.4pt;width:440.4pt;z-index:251659264;mso-width-relative:page;mso-height-relative:page;" filled="f" stroked="t" coordsize="21600,21600" o:gfxdata="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K1hXX9gAAAAJAQAADwAAAAAAAAABACAAAAAiAAAAZHJzL2Rvd25yZXYueG1sUEsB&#10;AhQAFAAAAAgAh07iQNVCQYD1AQAA6AMAAA4AAAAAAAAAAQAgAAAAJwEAAGRycy9lMm9Eb2MueG1s&#10;UEsFBgAAAAAGAAYAWQEAAI4FAAAAAA==&#10;">
                <v:fill on="f" focussize="0,0"/>
                <v:stroke weight="1pt" color="#008000" joinstyle="round"/>
                <v:imagedata o:title=""/>
                <o:lock v:ext="edit" aspectratio="f"/>
              </v:line>
            </w:pict>
          </mc:Fallback>
        </mc:AlternateContent>
      </w:r>
      <w:r>
        <w:rPr>
          <w:rFonts w:hint="default" w:ascii="Times New Roman" w:hAnsi="Times New Roman" w:eastAsia="仿宋_GB2312" w:cs="Times New Roman"/>
          <w:sz w:val="32"/>
          <w:szCs w:val="32"/>
          <w:lang w:eastAsia="zh-CN"/>
        </w:rPr>
        <w:t>吉林省</w:t>
      </w:r>
      <w:r>
        <w:rPr>
          <w:rFonts w:hint="default" w:ascii="Times New Roman" w:hAnsi="Times New Roman" w:eastAsia="仿宋_GB2312" w:cs="Times New Roman"/>
          <w:sz w:val="32"/>
          <w:szCs w:val="32"/>
        </w:rPr>
        <w:t>生态环境监测中心</w:t>
      </w:r>
      <w:r>
        <w:rPr>
          <w:rFonts w:hint="default" w:ascii="Times New Roman" w:hAnsi="Times New Roman" w:eastAsia="仿宋_GB2312" w:cs="Times New Roman"/>
          <w:sz w:val="32"/>
          <w:szCs w:val="32"/>
          <w:lang w:val="en-US" w:eastAsia="zh-CN"/>
        </w:rPr>
        <w:t xml:space="preserve"> </w:t>
      </w:r>
      <w:r>
        <w:rPr>
          <w:rFonts w:hint="default" w:ascii="Times New Roman" w:hAnsi="Times New Roman" w:cs="Times New Roman"/>
          <w:sz w:val="32"/>
          <w:szCs w:val="32"/>
          <w:lang w:val="en-US" w:eastAsia="zh-CN"/>
        </w:rPr>
        <w:t xml:space="preserve">                </w:t>
      </w:r>
      <w:r>
        <w:rPr>
          <w:rFonts w:hint="default" w:ascii="Times New Roman" w:hAnsi="Times New Roman" w:eastAsia="仿宋_GB2312" w:cs="Times New Roman"/>
          <w:sz w:val="32"/>
          <w:szCs w:val="32"/>
        </w:rPr>
        <w:t>20</w:t>
      </w:r>
      <w:r>
        <w:rPr>
          <w:rFonts w:hint="default" w:ascii="Times New Roman" w:hAnsi="Times New Roman" w:eastAsia="仿宋_GB2312" w:cs="Times New Roman"/>
          <w:sz w:val="32"/>
          <w:szCs w:val="32"/>
          <w:lang w:val="en-US" w:eastAsia="zh-CN"/>
        </w:rPr>
        <w:t>2</w:t>
      </w:r>
      <w:r>
        <w:rPr>
          <w:rFonts w:hint="default" w:ascii="Times New Roman" w:hAnsi="Times New Roman" w:cs="Times New Roman"/>
          <w:sz w:val="32"/>
          <w:szCs w:val="32"/>
          <w:lang w:val="en-US" w:eastAsia="zh-CN"/>
        </w:rPr>
        <w:t>3</w:t>
      </w:r>
      <w:r>
        <w:rPr>
          <w:rFonts w:hint="default" w:ascii="Times New Roman" w:hAnsi="Times New Roman" w:eastAsia="仿宋_GB2312" w:cs="Times New Roman"/>
          <w:sz w:val="32"/>
          <w:szCs w:val="32"/>
        </w:rPr>
        <w:t>年</w:t>
      </w:r>
      <w:r>
        <w:rPr>
          <w:rFonts w:hint="default" w:ascii="Times New Roman" w:hAnsi="Times New Roman" w:cs="Times New Roman"/>
          <w:sz w:val="32"/>
          <w:szCs w:val="32"/>
          <w:lang w:val="en-US" w:eastAsia="zh-CN"/>
        </w:rPr>
        <w:t>1</w:t>
      </w:r>
      <w:r>
        <w:rPr>
          <w:rFonts w:hint="default" w:ascii="Times New Roman" w:hAnsi="Times New Roman" w:eastAsia="仿宋_GB2312" w:cs="Times New Roman"/>
          <w:sz w:val="32"/>
          <w:szCs w:val="32"/>
        </w:rPr>
        <w:t>月</w:t>
      </w:r>
      <w:r>
        <w:rPr>
          <w:rFonts w:hint="default" w:ascii="Times New Roman" w:hAnsi="Times New Roman" w:cs="Times New Roman"/>
          <w:sz w:val="32"/>
          <w:szCs w:val="32"/>
          <w:lang w:val="en-US" w:eastAsia="zh-CN"/>
        </w:rPr>
        <w:t>17</w:t>
      </w:r>
      <w:r>
        <w:rPr>
          <w:rFonts w:hint="default" w:ascii="Times New Roman" w:hAnsi="Times New Roman" w:eastAsia="仿宋_GB2312" w:cs="Times New Roman"/>
          <w:sz w:val="32"/>
          <w:szCs w:val="32"/>
        </w:rPr>
        <w:t>日</w:t>
      </w:r>
    </w:p>
    <w:p>
      <w:pPr>
        <w:pStyle w:val="3"/>
        <w:keepNext/>
        <w:keepLines/>
        <w:pageBreakBefore w:val="0"/>
        <w:widowControl w:val="0"/>
        <w:numPr>
          <w:ilvl w:val="0"/>
          <w:numId w:val="0"/>
        </w:numPr>
        <w:kinsoku/>
        <w:wordWrap/>
        <w:overflowPunct/>
        <w:topLinePunct w:val="0"/>
        <w:autoSpaceDE/>
        <w:autoSpaceDN/>
        <w:bidi w:val="0"/>
        <w:adjustRightInd/>
        <w:snapToGrid/>
        <w:spacing w:before="100" w:beforeLines="-2147483648" w:beforeAutospacing="1" w:after="100" w:afterLines="-2147483648" w:afterAutospacing="1" w:line="240" w:lineRule="auto"/>
        <w:jc w:val="left"/>
        <w:textAlignment w:val="auto"/>
        <w:rPr>
          <w:rFonts w:hint="default" w:ascii="Times New Roman" w:hAnsi="Times New Roman" w:eastAsia="黑体" w:cs="Times New Roman"/>
          <w:b w:val="0"/>
          <w:bCs w:val="0"/>
          <w:sz w:val="36"/>
          <w:szCs w:val="36"/>
          <w:lang w:val="en-US" w:eastAsia="zh-CN"/>
        </w:rPr>
      </w:pPr>
      <w:bookmarkStart w:id="0" w:name="_Toc15083"/>
      <w:r>
        <w:rPr>
          <w:rFonts w:hint="default" w:ascii="Times New Roman" w:hAnsi="Times New Roman" w:eastAsia="黑体" w:cs="Times New Roman"/>
          <w:b w:val="0"/>
          <w:bCs w:val="0"/>
          <w:sz w:val="36"/>
          <w:szCs w:val="36"/>
          <w:lang w:val="en-US" w:eastAsia="zh-CN"/>
        </w:rPr>
        <w:t>1 监测总体情况</w:t>
      </w:r>
      <w:bookmarkEnd w:id="0"/>
    </w:p>
    <w:p>
      <w:pPr>
        <w:pStyle w:val="3"/>
        <w:bidi w:val="0"/>
        <w:rPr>
          <w:rFonts w:hint="default" w:ascii="Times New Roman" w:hAnsi="Times New Roman" w:eastAsia="黑体" w:cs="Times New Roman"/>
          <w:b w:val="0"/>
          <w:bCs/>
          <w:sz w:val="30"/>
          <w:szCs w:val="30"/>
          <w:lang w:val="en-US" w:eastAsia="zh-CN"/>
        </w:rPr>
      </w:pPr>
      <w:bookmarkStart w:id="1" w:name="_Toc5216"/>
      <w:bookmarkStart w:id="2" w:name="_Toc14817"/>
      <w:r>
        <w:rPr>
          <w:rFonts w:hint="default" w:ascii="Times New Roman" w:hAnsi="Times New Roman" w:eastAsia="黑体" w:cs="Times New Roman"/>
          <w:b w:val="0"/>
          <w:bCs/>
          <w:sz w:val="30"/>
          <w:szCs w:val="30"/>
          <w:lang w:val="en-US" w:eastAsia="zh-CN"/>
        </w:rPr>
        <w:t>1.1监测范围</w:t>
      </w:r>
      <w:bookmarkEnd w:id="1"/>
      <w:bookmarkEnd w:id="2"/>
    </w:p>
    <w:p>
      <w:pPr>
        <w:keepNext w:val="0"/>
        <w:keepLines w:val="0"/>
        <w:widowControl/>
        <w:suppressLineNumbers w:val="0"/>
        <w:ind w:firstLine="560" w:firstLineChars="200"/>
        <w:jc w:val="left"/>
        <w:rPr>
          <w:rFonts w:hint="default" w:ascii="Times New Roman" w:hAnsi="Times New Roman" w:cs="Times New Roman"/>
          <w:lang w:val="en-US" w:eastAsia="zh-CN"/>
        </w:rPr>
      </w:pPr>
      <w:r>
        <w:rPr>
          <w:rFonts w:hint="default" w:ascii="Times New Roman" w:hAnsi="Times New Roman" w:cs="Times New Roman"/>
          <w:highlight w:val="none"/>
          <w:lang w:val="en-US" w:eastAsia="zh-CN"/>
        </w:rPr>
        <w:t>监测范围主要是吉林省行政区域内已核发排污许可证的企业，及各市（州）生态环境部门根据本地污染源监管需求，将部分污染源纳</w:t>
      </w:r>
      <w:r>
        <w:rPr>
          <w:rFonts w:hint="default" w:ascii="Times New Roman" w:hAnsi="Times New Roman" w:cs="Times New Roman"/>
          <w:lang w:val="en-US" w:eastAsia="zh-CN"/>
        </w:rPr>
        <w:t>入监测范围。</w:t>
      </w:r>
    </w:p>
    <w:p>
      <w:pPr>
        <w:pStyle w:val="3"/>
        <w:bidi w:val="0"/>
        <w:rPr>
          <w:rFonts w:hint="default" w:ascii="Times New Roman" w:hAnsi="Times New Roman" w:eastAsia="黑体" w:cs="Times New Roman"/>
          <w:b w:val="0"/>
          <w:bCs/>
          <w:sz w:val="30"/>
          <w:szCs w:val="30"/>
          <w:lang w:val="en-US" w:eastAsia="zh-CN"/>
        </w:rPr>
      </w:pPr>
      <w:bookmarkStart w:id="3" w:name="_Toc7367"/>
      <w:bookmarkStart w:id="4" w:name="_Toc15307"/>
      <w:r>
        <w:rPr>
          <w:rFonts w:hint="default" w:ascii="Times New Roman" w:hAnsi="Times New Roman" w:eastAsia="黑体" w:cs="Times New Roman"/>
          <w:b w:val="0"/>
          <w:bCs/>
          <w:sz w:val="30"/>
          <w:szCs w:val="30"/>
          <w:lang w:val="en-US" w:eastAsia="zh-CN"/>
        </w:rPr>
        <w:t>1.2监测项目</w:t>
      </w:r>
      <w:bookmarkEnd w:id="3"/>
      <w:bookmarkEnd w:id="4"/>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1、污染物排放监测</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监测项目按照执行的排放标准、环评及批复和排污许可证等的要求进行全指标监测。</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2、自动监测设备比对监测</w:t>
      </w:r>
    </w:p>
    <w:p>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在进行污染物排放执法监测同时，对于安装污染源自动监测设备的要开展比对监测。</w:t>
      </w:r>
      <w:r>
        <w:rPr>
          <w:rFonts w:hint="default" w:ascii="Times New Roman" w:hAnsi="Times New Roman" w:cs="Times New Roman"/>
          <w:highlight w:val="none"/>
          <w:lang w:val="en-US" w:eastAsia="zh-CN"/>
        </w:rPr>
        <w:t>比对监测的内容按照《固定污染源烟气（SO</w:t>
      </w:r>
      <w:r>
        <w:rPr>
          <w:rFonts w:hint="default" w:ascii="Times New Roman" w:hAnsi="Times New Roman" w:cs="Times New Roman"/>
          <w:highlight w:val="none"/>
          <w:vertAlign w:val="subscript"/>
          <w:lang w:val="en-US" w:eastAsia="zh-CN"/>
        </w:rPr>
        <w:t>2</w:t>
      </w:r>
      <w:r>
        <w:rPr>
          <w:rFonts w:hint="default" w:ascii="Times New Roman" w:hAnsi="Times New Roman" w:cs="Times New Roman"/>
          <w:highlight w:val="none"/>
          <w:lang w:val="en-US" w:eastAsia="zh-CN"/>
        </w:rPr>
        <w:t>、NO</w:t>
      </w:r>
      <w:r>
        <w:rPr>
          <w:rFonts w:hint="default" w:ascii="Times New Roman" w:hAnsi="Times New Roman" w:cs="Times New Roman"/>
          <w:highlight w:val="none"/>
          <w:vertAlign w:val="subscript"/>
          <w:lang w:val="en-US" w:eastAsia="zh-CN"/>
        </w:rPr>
        <w:t>X</w:t>
      </w:r>
      <w:r>
        <w:rPr>
          <w:rFonts w:hint="default" w:ascii="Times New Roman" w:hAnsi="Times New Roman" w:cs="Times New Roman"/>
          <w:highlight w:val="none"/>
          <w:lang w:val="en-US" w:eastAsia="zh-CN"/>
        </w:rPr>
        <w:t>、颗粒物）排放连续监测技术规范》（HJ75-2017）、《水污染源在线监测系统运行与考核技术规范（试行）》（HJ/T355－2007）、《关于印发&lt;污染源自动监测设备比对监测技术规定（试行）&gt;的通知》（总站统字〔2010〕192号）等要求执行。</w:t>
      </w:r>
    </w:p>
    <w:p>
      <w:pPr>
        <w:pStyle w:val="3"/>
        <w:bidi w:val="0"/>
        <w:rPr>
          <w:rFonts w:hint="default" w:ascii="Times New Roman" w:hAnsi="Times New Roman" w:eastAsia="黑体" w:cs="Times New Roman"/>
          <w:b w:val="0"/>
          <w:bCs/>
          <w:sz w:val="30"/>
          <w:szCs w:val="30"/>
          <w:lang w:val="en-US" w:eastAsia="zh-CN"/>
        </w:rPr>
      </w:pPr>
      <w:bookmarkStart w:id="5" w:name="_Toc19138"/>
      <w:bookmarkStart w:id="6" w:name="_Toc15003"/>
      <w:r>
        <w:rPr>
          <w:rFonts w:hint="default" w:ascii="Times New Roman" w:hAnsi="Times New Roman" w:eastAsia="黑体" w:cs="Times New Roman"/>
          <w:b w:val="0"/>
          <w:bCs/>
          <w:sz w:val="30"/>
          <w:szCs w:val="30"/>
          <w:lang w:val="en-US" w:eastAsia="zh-CN"/>
        </w:rPr>
        <w:t>1.3监测频次</w:t>
      </w:r>
      <w:bookmarkEnd w:id="5"/>
      <w:bookmarkEnd w:id="6"/>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监测频次按照执行的排放标准、法律法规和排污许可等有关要求进行监测。对于监测超标的污染源，以及</w:t>
      </w:r>
      <w:r>
        <w:rPr>
          <w:rFonts w:hint="default" w:ascii="Times New Roman" w:hAnsi="Times New Roman" w:cs="Times New Roman"/>
          <w:highlight w:val="none"/>
          <w:lang w:val="en-US" w:eastAsia="zh-CN"/>
        </w:rPr>
        <w:t>本地污染源监管需求，</w:t>
      </w:r>
      <w:r>
        <w:rPr>
          <w:rFonts w:hint="default" w:ascii="Times New Roman" w:hAnsi="Times New Roman" w:cs="Times New Roman"/>
          <w:lang w:val="en-US" w:eastAsia="zh-CN"/>
        </w:rPr>
        <w:t>适当增加监测频次。</w:t>
      </w:r>
    </w:p>
    <w:p>
      <w:pPr>
        <w:pStyle w:val="3"/>
        <w:bidi w:val="0"/>
        <w:rPr>
          <w:rFonts w:hint="default" w:ascii="Times New Roman" w:hAnsi="Times New Roman" w:eastAsia="黑体" w:cs="Times New Roman"/>
          <w:b w:val="0"/>
          <w:bCs/>
          <w:sz w:val="30"/>
          <w:szCs w:val="30"/>
          <w:lang w:val="en-US" w:eastAsia="zh-CN"/>
        </w:rPr>
      </w:pPr>
      <w:bookmarkStart w:id="7" w:name="_Toc5740"/>
      <w:bookmarkStart w:id="8" w:name="_Toc28082"/>
      <w:r>
        <w:rPr>
          <w:rFonts w:hint="default" w:ascii="Times New Roman" w:hAnsi="Times New Roman" w:eastAsia="黑体" w:cs="Times New Roman"/>
          <w:b w:val="0"/>
          <w:bCs/>
          <w:sz w:val="30"/>
          <w:szCs w:val="30"/>
          <w:lang w:val="en-US" w:eastAsia="zh-CN"/>
        </w:rPr>
        <w:t>1.4质量保证与质量控制</w:t>
      </w:r>
      <w:bookmarkEnd w:id="7"/>
      <w:bookmarkEnd w:id="8"/>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各级环境监测机构要严格按照环境监测技术规范要求开展污染源监测。吉林省省级环境管理部门组织开展对行政区域内监测机构的污染源执法监测质控情况检查和监测能力考核。</w:t>
      </w:r>
    </w:p>
    <w:p>
      <w:pPr>
        <w:pStyle w:val="3"/>
        <w:keepNext/>
        <w:keepLines/>
        <w:numPr>
          <w:ilvl w:val="0"/>
          <w:numId w:val="0"/>
        </w:numPr>
        <w:spacing w:before="100" w:beforeLines="-2147483648" w:beforeAutospacing="1" w:after="100" w:afterLines="-2147483648" w:afterAutospacing="1"/>
        <w:jc w:val="left"/>
        <w:rPr>
          <w:rFonts w:hint="default" w:ascii="Times New Roman" w:hAnsi="Times New Roman" w:eastAsia="黑体" w:cs="Times New Roman"/>
          <w:b w:val="0"/>
          <w:bCs w:val="0"/>
          <w:sz w:val="32"/>
          <w:szCs w:val="32"/>
          <w:lang w:val="en-US" w:eastAsia="zh-CN"/>
        </w:rPr>
      </w:pPr>
      <w:bookmarkStart w:id="9" w:name="_Toc20039"/>
      <w:r>
        <w:rPr>
          <w:rFonts w:hint="default" w:ascii="Times New Roman" w:hAnsi="Times New Roman" w:eastAsia="黑体" w:cs="Times New Roman"/>
          <w:b w:val="0"/>
          <w:bCs w:val="0"/>
          <w:sz w:val="32"/>
          <w:szCs w:val="32"/>
          <w:lang w:val="en-US" w:eastAsia="zh-CN"/>
        </w:rPr>
        <w:t>2 污染物排放监测</w:t>
      </w:r>
      <w:bookmarkEnd w:id="9"/>
    </w:p>
    <w:p>
      <w:pPr>
        <w:pStyle w:val="3"/>
        <w:bidi w:val="0"/>
        <w:rPr>
          <w:rFonts w:hint="default" w:ascii="Times New Roman" w:hAnsi="Times New Roman" w:eastAsia="黑体" w:cs="Times New Roman"/>
          <w:b w:val="0"/>
          <w:bCs/>
          <w:sz w:val="30"/>
          <w:szCs w:val="30"/>
          <w:lang w:val="en-US" w:eastAsia="zh-CN"/>
        </w:rPr>
      </w:pPr>
      <w:bookmarkStart w:id="10" w:name="_Toc11544"/>
      <w:bookmarkStart w:id="11" w:name="_Toc26026"/>
      <w:r>
        <w:rPr>
          <w:rFonts w:hint="default" w:ascii="Times New Roman" w:hAnsi="Times New Roman" w:eastAsia="黑体" w:cs="Times New Roman"/>
          <w:b w:val="0"/>
          <w:bCs/>
          <w:sz w:val="30"/>
          <w:szCs w:val="30"/>
          <w:lang w:val="en-US" w:eastAsia="zh-CN"/>
        </w:rPr>
        <w:t>2.1废水污染源执法监测情况</w:t>
      </w:r>
      <w:bookmarkEnd w:id="10"/>
      <w:bookmarkEnd w:id="11"/>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吉林省按照监测方案中监测频次、执行的排放标准、法律法规和排污许可证等有关要求进行监测，2022年全年废水污染源执法监测共计完成</w:t>
      </w:r>
      <w:r>
        <w:rPr>
          <w:rFonts w:hint="default" w:ascii="Times New Roman" w:hAnsi="Times New Roman" w:cs="Times New Roman"/>
          <w:color w:val="auto"/>
          <w:lang w:val="en-US" w:eastAsia="zh-CN"/>
        </w:rPr>
        <w:t>347</w:t>
      </w:r>
      <w:r>
        <w:rPr>
          <w:rFonts w:hint="default" w:ascii="Times New Roman" w:hAnsi="Times New Roman" w:cs="Times New Roman"/>
          <w:lang w:val="en-US" w:eastAsia="zh-CN"/>
        </w:rPr>
        <w:t>家企业，详见表2-1。</w:t>
      </w:r>
    </w:p>
    <w:p>
      <w:pPr>
        <w:keepNext w:val="0"/>
        <w:keepLines w:val="0"/>
        <w:pageBreakBefore w:val="0"/>
        <w:widowControl w:val="0"/>
        <w:kinsoku/>
        <w:wordWrap/>
        <w:overflowPunct/>
        <w:topLinePunct w:val="0"/>
        <w:autoSpaceDE/>
        <w:autoSpaceDN/>
        <w:bidi w:val="0"/>
        <w:adjustRightInd/>
        <w:snapToGrid/>
        <w:spacing w:after="157" w:afterLines="50" w:line="360" w:lineRule="auto"/>
        <w:ind w:left="0" w:leftChars="0" w:firstLine="0" w:firstLineChars="0"/>
        <w:jc w:val="center"/>
        <w:textAlignment w:val="auto"/>
        <w:rPr>
          <w:rFonts w:hint="default" w:ascii="Times New Roman" w:hAnsi="Times New Roman" w:eastAsia="黑体"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4"/>
          <w:szCs w:val="24"/>
          <w:lang w:val="en-US" w:eastAsia="zh-CN"/>
          <w14:textFill>
            <w14:solidFill>
              <w14:schemeClr w14:val="tx1"/>
            </w14:solidFill>
          </w14:textFill>
        </w:rPr>
        <w:t>表2-1  2021年吉林省各市（州）污染源排放监测企业（废水）</w:t>
      </w:r>
    </w:p>
    <w:tbl>
      <w:tblPr>
        <w:tblStyle w:val="11"/>
        <w:tblW w:w="9004"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02"/>
        <w:gridCol w:w="4502"/>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blHeader/>
          <w:jc w:val="center"/>
        </w:trPr>
        <w:tc>
          <w:tcPr>
            <w:tcW w:w="4502"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482" w:firstLineChars="200"/>
              <w:jc w:val="center"/>
              <w:textAlignment w:val="auto"/>
              <w:rPr>
                <w:rFonts w:hint="default" w:ascii="Times New Roman" w:hAnsi="Times New Roman" w:cs="Times New Roman"/>
                <w:vertAlign w:val="baseline"/>
              </w:rPr>
            </w:pPr>
            <w:r>
              <w:rPr>
                <w:rFonts w:hint="default" w:ascii="Times New Roman" w:hAnsi="Times New Roman" w:cs="Times New Roman"/>
                <w:b/>
                <w:sz w:val="24"/>
                <w:szCs w:val="24"/>
              </w:rPr>
              <w:t>地区名称</w:t>
            </w:r>
          </w:p>
        </w:tc>
        <w:tc>
          <w:tcPr>
            <w:tcW w:w="4502"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482" w:firstLineChars="200"/>
              <w:jc w:val="center"/>
              <w:textAlignment w:val="auto"/>
              <w:rPr>
                <w:rFonts w:hint="default" w:ascii="Times New Roman" w:hAnsi="Times New Roman" w:cs="Times New Roman"/>
                <w:vertAlign w:val="baseline"/>
              </w:rPr>
            </w:pPr>
            <w:r>
              <w:rPr>
                <w:rFonts w:hint="default" w:ascii="Times New Roman" w:hAnsi="Times New Roman" w:cs="Times New Roman"/>
                <w:b/>
                <w:sz w:val="24"/>
                <w:szCs w:val="24"/>
                <w:lang w:val="en-US" w:eastAsia="zh-CN"/>
              </w:rPr>
              <w:t>全年污染源排放监测企业（家）</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502"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sz w:val="21"/>
                <w:szCs w:val="21"/>
                <w:vertAlign w:val="baseline"/>
              </w:rPr>
            </w:pPr>
            <w:r>
              <w:rPr>
                <w:rFonts w:hint="default" w:ascii="Times New Roman" w:hAnsi="Times New Roman" w:eastAsia="仿宋" w:cs="Times New Roman"/>
                <w:sz w:val="21"/>
                <w:szCs w:val="21"/>
              </w:rPr>
              <w:t>吉林省</w:t>
            </w:r>
          </w:p>
        </w:tc>
        <w:tc>
          <w:tcPr>
            <w:tcW w:w="4502" w:type="dxa"/>
            <w:tcBorders>
              <w:top w:val="single" w:color="auto" w:sz="12"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sz w:val="21"/>
                <w:szCs w:val="21"/>
                <w:vertAlign w:val="baseline"/>
                <w:lang w:val="en-US"/>
              </w:rPr>
            </w:pPr>
            <w:r>
              <w:rPr>
                <w:rFonts w:hint="default" w:ascii="Times New Roman" w:hAnsi="Times New Roman" w:eastAsia="仿宋" w:cs="Times New Roman"/>
                <w:sz w:val="21"/>
                <w:szCs w:val="21"/>
                <w:vertAlign w:val="baseline"/>
                <w:lang w:val="en-US" w:eastAsia="zh-CN"/>
              </w:rPr>
              <w:t>347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000000" w:themeColor="text1"/>
                <w:sz w:val="21"/>
                <w:szCs w:val="21"/>
                <w:vertAlign w:val="baseline"/>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长春市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000000" w:themeColor="text1"/>
                <w:sz w:val="21"/>
                <w:szCs w:val="21"/>
                <w:vertAlign w:val="baseline"/>
                <w:lang w:val="en-US"/>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139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sz w:val="21"/>
                <w:szCs w:val="21"/>
                <w:vertAlign w:val="baseline"/>
              </w:rPr>
            </w:pPr>
            <w:r>
              <w:rPr>
                <w:rFonts w:hint="default" w:ascii="Times New Roman" w:hAnsi="Times New Roman" w:eastAsia="仿宋" w:cs="Times New Roman"/>
                <w:sz w:val="21"/>
                <w:szCs w:val="21"/>
              </w:rPr>
              <w:t>吉林市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sz w:val="21"/>
                <w:szCs w:val="21"/>
                <w:vertAlign w:val="baseline"/>
                <w:lang w:val="en-US"/>
              </w:rPr>
            </w:pPr>
            <w:r>
              <w:rPr>
                <w:rFonts w:hint="default" w:ascii="Times New Roman" w:hAnsi="Times New Roman" w:eastAsia="仿宋" w:cs="Times New Roman"/>
                <w:sz w:val="21"/>
                <w:szCs w:val="21"/>
                <w:vertAlign w:val="baseline"/>
                <w:lang w:val="en-US" w:eastAsia="zh-CN"/>
              </w:rPr>
              <w:t>71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000000" w:themeColor="text1"/>
                <w:sz w:val="21"/>
                <w:szCs w:val="21"/>
                <w:vertAlign w:val="baseline"/>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四平市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000000" w:themeColor="text1"/>
                <w:sz w:val="21"/>
                <w:szCs w:val="21"/>
                <w:vertAlign w:val="baseline"/>
                <w:lang w:val="en-US"/>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38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sz w:val="21"/>
                <w:szCs w:val="21"/>
                <w:vertAlign w:val="baseline"/>
              </w:rPr>
            </w:pPr>
            <w:r>
              <w:rPr>
                <w:rFonts w:hint="default" w:ascii="Times New Roman" w:hAnsi="Times New Roman" w:eastAsia="仿宋" w:cs="Times New Roman"/>
                <w:sz w:val="21"/>
                <w:szCs w:val="21"/>
              </w:rPr>
              <w:t>辽源市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sz w:val="21"/>
                <w:szCs w:val="21"/>
                <w:vertAlign w:val="baseline"/>
                <w:lang w:val="en-US"/>
              </w:rPr>
            </w:pPr>
            <w:r>
              <w:rPr>
                <w:rFonts w:hint="default" w:ascii="Times New Roman" w:hAnsi="Times New Roman" w:eastAsia="仿宋" w:cs="Times New Roman"/>
                <w:sz w:val="21"/>
                <w:szCs w:val="21"/>
                <w:vertAlign w:val="baseline"/>
                <w:lang w:val="en-US" w:eastAsia="zh-CN"/>
              </w:rPr>
              <w:t>15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sz w:val="21"/>
                <w:szCs w:val="21"/>
              </w:rPr>
            </w:pPr>
            <w:r>
              <w:rPr>
                <w:rFonts w:hint="default" w:ascii="Times New Roman" w:hAnsi="Times New Roman" w:eastAsia="仿宋" w:cs="Times New Roman"/>
                <w:sz w:val="21"/>
                <w:szCs w:val="21"/>
              </w:rPr>
              <w:t>通化市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kern w:val="2"/>
                <w:sz w:val="21"/>
                <w:szCs w:val="21"/>
                <w:vertAlign w:val="baseline"/>
                <w:lang w:val="en-US" w:eastAsia="zh-CN" w:bidi="ar-SA"/>
              </w:rPr>
            </w:pPr>
            <w:r>
              <w:rPr>
                <w:rFonts w:hint="default" w:ascii="Times New Roman" w:hAnsi="Times New Roman" w:eastAsia="仿宋" w:cs="Times New Roman"/>
                <w:sz w:val="21"/>
                <w:szCs w:val="21"/>
              </w:rPr>
              <w:t>白山市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kern w:val="2"/>
                <w:sz w:val="21"/>
                <w:szCs w:val="21"/>
                <w:vertAlign w:val="baseline"/>
                <w:lang w:val="en-US" w:eastAsia="zh-CN" w:bidi="ar-SA"/>
              </w:rPr>
            </w:pPr>
            <w:r>
              <w:rPr>
                <w:rFonts w:hint="default" w:ascii="Times New Roman" w:hAnsi="Times New Roman" w:eastAsia="仿宋" w:cs="Times New Roman"/>
                <w:sz w:val="21"/>
                <w:szCs w:val="21"/>
              </w:rPr>
              <w:t>松原市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kern w:val="2"/>
                <w:sz w:val="21"/>
                <w:szCs w:val="21"/>
                <w:vertAlign w:val="baseline"/>
                <w:lang w:val="en-US" w:eastAsia="zh-CN" w:bidi="ar-SA"/>
              </w:rPr>
            </w:pPr>
            <w:r>
              <w:rPr>
                <w:rFonts w:hint="default" w:ascii="Times New Roman" w:hAnsi="Times New Roman" w:eastAsia="仿宋" w:cs="Times New Roman"/>
                <w:sz w:val="21"/>
                <w:szCs w:val="21"/>
              </w:rPr>
              <w:t>白城市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kern w:val="2"/>
                <w:sz w:val="21"/>
                <w:szCs w:val="21"/>
                <w:vertAlign w:val="baseline"/>
                <w:lang w:val="en-US" w:eastAsia="zh-CN" w:bidi="ar-SA"/>
              </w:rPr>
            </w:pPr>
            <w:r>
              <w:rPr>
                <w:rFonts w:hint="default" w:ascii="Times New Roman" w:hAnsi="Times New Roman" w:eastAsia="仿宋" w:cs="Times New Roman"/>
                <w:sz w:val="21"/>
                <w:szCs w:val="21"/>
              </w:rPr>
              <w:t>延边州</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23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kern w:val="2"/>
                <w:sz w:val="21"/>
                <w:szCs w:val="21"/>
                <w:vertAlign w:val="baseline"/>
                <w:lang w:val="en-US" w:eastAsia="zh-CN" w:bidi="ar-SA"/>
              </w:rPr>
            </w:pPr>
            <w:r>
              <w:rPr>
                <w:rFonts w:hint="default" w:ascii="Times New Roman" w:hAnsi="Times New Roman" w:eastAsia="仿宋" w:cs="Times New Roman"/>
                <w:sz w:val="21"/>
                <w:szCs w:val="21"/>
                <w:lang w:eastAsia="zh-CN"/>
              </w:rPr>
              <w:t>长白山管委会</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梅河口市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5</w:t>
            </w:r>
          </w:p>
        </w:tc>
      </w:tr>
    </w:tbl>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cs="Times New Roman"/>
          <w:b/>
          <w:bCs/>
          <w:sz w:val="21"/>
          <w:szCs w:val="21"/>
          <w:lang w:val="en-US" w:eastAsia="zh-CN"/>
        </w:rPr>
      </w:pPr>
    </w:p>
    <w:p>
      <w:pPr>
        <w:pStyle w:val="3"/>
        <w:bidi w:val="0"/>
        <w:rPr>
          <w:rFonts w:hint="default" w:ascii="Times New Roman" w:hAnsi="Times New Roman" w:eastAsia="黑体" w:cs="Times New Roman"/>
          <w:b w:val="0"/>
          <w:bCs/>
          <w:sz w:val="28"/>
          <w:szCs w:val="28"/>
          <w:lang w:val="en-US" w:eastAsia="zh-CN"/>
        </w:rPr>
      </w:pPr>
      <w:bookmarkStart w:id="12" w:name="_Toc16394"/>
      <w:bookmarkStart w:id="13" w:name="_Toc29126"/>
      <w:r>
        <w:rPr>
          <w:rFonts w:hint="default" w:ascii="Times New Roman" w:hAnsi="Times New Roman" w:eastAsia="黑体" w:cs="Times New Roman"/>
          <w:b w:val="0"/>
          <w:bCs/>
          <w:sz w:val="28"/>
          <w:szCs w:val="28"/>
          <w:lang w:val="en-US" w:eastAsia="zh-CN"/>
        </w:rPr>
        <w:t>2.1.1 废水污染企业总体达标情况</w:t>
      </w:r>
      <w:bookmarkEnd w:id="12"/>
      <w:bookmarkEnd w:id="13"/>
    </w:p>
    <w:p>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9"/>
        <w:rPr>
          <w:rFonts w:hint="default" w:ascii="Times New Roman" w:hAnsi="Times New Roman" w:cs="Times New Roman"/>
          <w:lang w:val="en-US" w:eastAsia="zh-CN"/>
        </w:rPr>
      </w:pPr>
      <w:r>
        <w:rPr>
          <w:rFonts w:hint="default" w:ascii="Times New Roman" w:hAnsi="Times New Roman" w:cs="Times New Roman"/>
          <w:lang w:val="en-US" w:eastAsia="zh-CN"/>
        </w:rPr>
        <w:t>吉林省全年上报的347家企业数据中，全省总体达标率达100%，11个地区达标率均为100%，详见图2-1。</w:t>
      </w:r>
    </w:p>
    <w:p>
      <w:pPr>
        <w:keepNext w:val="0"/>
        <w:keepLines w:val="0"/>
        <w:pageBreakBefore w:val="0"/>
        <w:widowControl w:val="0"/>
        <w:kinsoku/>
        <w:wordWrap/>
        <w:overflowPunct/>
        <w:topLinePunct w:val="0"/>
        <w:autoSpaceDE/>
        <w:autoSpaceDN/>
        <w:bidi w:val="0"/>
        <w:adjustRightInd/>
        <w:snapToGrid/>
        <w:jc w:val="both"/>
        <w:textAlignment w:val="auto"/>
        <w:outlineLvl w:val="9"/>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r>
        <w:rPr>
          <w:rFonts w:hint="default" w:ascii="Times New Roman" w:hAnsi="Times New Roman" w:cs="Times New Roman"/>
        </w:rPr>
        <w:drawing>
          <wp:inline distT="0" distB="0" distL="114300" distR="114300">
            <wp:extent cx="4782820" cy="2907665"/>
            <wp:effectExtent l="0" t="0" r="0" b="0"/>
            <wp:docPr id="12"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keepNext w:val="0"/>
        <w:keepLines w:val="0"/>
        <w:pageBreakBefore w:val="0"/>
        <w:widowControl w:val="0"/>
        <w:kinsoku/>
        <w:wordWrap/>
        <w:overflowPunct/>
        <w:topLinePunct w:val="0"/>
        <w:autoSpaceDE/>
        <w:autoSpaceDN/>
        <w:bidi w:val="0"/>
        <w:adjustRightInd/>
        <w:snapToGrid/>
        <w:spacing w:after="157" w:afterLines="50" w:line="360" w:lineRule="auto"/>
        <w:ind w:left="0" w:leftChars="0" w:firstLine="0" w:firstLineChars="0"/>
        <w:jc w:val="center"/>
        <w:textAlignment w:val="auto"/>
        <w:rPr>
          <w:rFonts w:hint="default" w:ascii="Times New Roman" w:hAnsi="Times New Roman" w:eastAsia="黑体"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4"/>
          <w:szCs w:val="24"/>
          <w:lang w:val="en-US" w:eastAsia="zh-CN"/>
          <w14:textFill>
            <w14:solidFill>
              <w14:schemeClr w14:val="tx1"/>
            </w14:solidFill>
          </w14:textFill>
        </w:rPr>
        <w:t>图2-1  2022年吉林省各市（州）污染源排放监测企业（废水）综合达标率</w:t>
      </w:r>
    </w:p>
    <w:p>
      <w:pPr>
        <w:pStyle w:val="3"/>
        <w:bidi w:val="0"/>
        <w:rPr>
          <w:rFonts w:hint="default" w:ascii="Times New Roman" w:hAnsi="Times New Roman" w:eastAsia="黑体" w:cs="Times New Roman"/>
          <w:b w:val="0"/>
          <w:bCs/>
          <w:sz w:val="28"/>
          <w:szCs w:val="28"/>
          <w:lang w:val="en-US" w:eastAsia="zh-CN"/>
        </w:rPr>
      </w:pPr>
      <w:bookmarkStart w:id="14" w:name="_Toc11134"/>
      <w:bookmarkStart w:id="15" w:name="_Toc18220"/>
      <w:bookmarkStart w:id="16" w:name="_Toc8729"/>
      <w:r>
        <w:rPr>
          <w:rFonts w:hint="default" w:ascii="Times New Roman" w:hAnsi="Times New Roman" w:eastAsia="黑体" w:cs="Times New Roman"/>
          <w:b w:val="0"/>
          <w:bCs/>
          <w:sz w:val="28"/>
          <w:szCs w:val="28"/>
          <w:lang w:val="en-US" w:eastAsia="zh-CN"/>
        </w:rPr>
        <w:t>2.1.2 废水污染源主要污染物排放达标情况</w:t>
      </w:r>
      <w:bookmarkEnd w:id="14"/>
      <w:bookmarkEnd w:id="15"/>
      <w:bookmarkEnd w:id="16"/>
    </w:p>
    <w:p>
      <w:pPr>
        <w:spacing w:line="360" w:lineRule="auto"/>
        <w:ind w:firstLine="560" w:firstLineChars="200"/>
        <w:jc w:val="both"/>
        <w:rPr>
          <w:rFonts w:hint="default" w:ascii="Times New Roman" w:hAnsi="Times New Roman" w:cs="Times New Roman"/>
          <w:b/>
          <w:bCs/>
          <w:sz w:val="21"/>
          <w:szCs w:val="21"/>
          <w:lang w:val="en-US" w:eastAsia="zh-CN"/>
        </w:rPr>
      </w:pPr>
      <w:r>
        <w:rPr>
          <w:rFonts w:hint="default" w:ascii="Times New Roman" w:hAnsi="Times New Roman" w:cs="Times New Roman"/>
          <w:color w:val="000000" w:themeColor="text1"/>
          <w:lang w:val="en-US" w:eastAsia="zh-CN"/>
          <w14:textFill>
            <w14:solidFill>
              <w14:schemeClr w14:val="tx1"/>
            </w14:solidFill>
          </w14:textFill>
        </w:rPr>
        <w:t>2022年全省废水污染源共进行执法监测各项指标41项，达标排放率均为100%，详见表2-2。</w:t>
      </w:r>
      <w:r>
        <w:rPr>
          <w:rFonts w:hint="default" w:ascii="Times New Roman" w:hAnsi="Times New Roman" w:cs="Times New Roman"/>
          <w:color w:val="auto"/>
          <w:highlight w:val="none"/>
          <w:lang w:val="en-US" w:eastAsia="zh-CN"/>
        </w:rPr>
        <w:t>全省11个市（州）COD和氨氮达标率均为100%，详见图2-2。</w:t>
      </w:r>
    </w:p>
    <w:p>
      <w:pPr>
        <w:keepNext w:val="0"/>
        <w:keepLines w:val="0"/>
        <w:pageBreakBefore w:val="0"/>
        <w:widowControl w:val="0"/>
        <w:kinsoku/>
        <w:wordWrap/>
        <w:overflowPunct/>
        <w:topLinePunct w:val="0"/>
        <w:autoSpaceDE/>
        <w:autoSpaceDN/>
        <w:bidi w:val="0"/>
        <w:adjustRightInd/>
        <w:snapToGrid/>
        <w:spacing w:after="157" w:afterLines="50" w:line="360" w:lineRule="auto"/>
        <w:ind w:left="0" w:leftChars="0" w:firstLine="0" w:firstLineChars="0"/>
        <w:jc w:val="center"/>
        <w:textAlignment w:val="auto"/>
        <w:rPr>
          <w:rFonts w:hint="default" w:ascii="Times New Roman" w:hAnsi="Times New Roman" w:eastAsia="黑体" w:cs="Times New Roman"/>
          <w:b w:val="0"/>
          <w:bCs w:val="0"/>
          <w:sz w:val="24"/>
          <w:szCs w:val="24"/>
          <w:lang w:val="en-US" w:eastAsia="zh-CN"/>
        </w:rPr>
      </w:pPr>
      <w:r>
        <w:rPr>
          <w:rFonts w:hint="default" w:ascii="Times New Roman" w:hAnsi="Times New Roman" w:eastAsia="黑体" w:cs="Times New Roman"/>
          <w:b w:val="0"/>
          <w:bCs w:val="0"/>
          <w:sz w:val="24"/>
          <w:szCs w:val="24"/>
          <w:lang w:val="en-US" w:eastAsia="zh-CN"/>
        </w:rPr>
        <w:t>表2-2  2022年全省废水污染源主要污染物达标情况</w:t>
      </w:r>
    </w:p>
    <w:tbl>
      <w:tblPr>
        <w:tblStyle w:val="11"/>
        <w:tblW w:w="90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51"/>
        <w:gridCol w:w="2251"/>
        <w:gridCol w:w="2251"/>
        <w:gridCol w:w="22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blHeader/>
        </w:trPr>
        <w:tc>
          <w:tcPr>
            <w:tcW w:w="2251" w:type="dxa"/>
            <w:tcBorders>
              <w:top w:val="single" w:color="auto" w:sz="12" w:space="0"/>
              <w:left w:val="nil"/>
              <w:bottom w:val="single" w:color="auto" w:sz="12" w:space="0"/>
              <w:right w:val="nil"/>
            </w:tcBorders>
            <w:vAlign w:val="center"/>
          </w:tcPr>
          <w:p>
            <w:pPr>
              <w:ind w:left="0" w:leftChars="0" w:firstLine="0" w:firstLineChars="0"/>
              <w:jc w:val="center"/>
              <w:rPr>
                <w:rFonts w:hint="default" w:ascii="Times New Roman" w:hAnsi="Times New Roman" w:eastAsia="黑体" w:cs="Times New Roman"/>
                <w:b w:val="0"/>
                <w:bCs w:val="0"/>
                <w:sz w:val="24"/>
                <w:szCs w:val="24"/>
                <w:vertAlign w:val="baseline"/>
                <w:lang w:val="en-US" w:eastAsia="zh-CN"/>
              </w:rPr>
            </w:pPr>
            <w:r>
              <w:rPr>
                <w:rFonts w:hint="default" w:ascii="Times New Roman" w:hAnsi="Times New Roman" w:eastAsia="黑体" w:cs="Times New Roman"/>
                <w:b w:val="0"/>
                <w:bCs w:val="0"/>
                <w:sz w:val="24"/>
                <w:szCs w:val="24"/>
                <w:vertAlign w:val="baseline"/>
                <w:lang w:val="en-US" w:eastAsia="zh-CN"/>
              </w:rPr>
              <w:t>监测项目</w:t>
            </w:r>
          </w:p>
        </w:tc>
        <w:tc>
          <w:tcPr>
            <w:tcW w:w="2251" w:type="dxa"/>
            <w:tcBorders>
              <w:top w:val="single" w:color="auto" w:sz="12" w:space="0"/>
              <w:left w:val="nil"/>
              <w:bottom w:val="single" w:color="auto" w:sz="12" w:space="0"/>
              <w:right w:val="nil"/>
            </w:tcBorders>
            <w:vAlign w:val="center"/>
          </w:tcPr>
          <w:p>
            <w:pPr>
              <w:ind w:left="0" w:leftChars="0" w:firstLine="0" w:firstLineChars="0"/>
              <w:jc w:val="center"/>
              <w:rPr>
                <w:rFonts w:hint="default" w:ascii="Times New Roman" w:hAnsi="Times New Roman" w:eastAsia="黑体" w:cs="Times New Roman"/>
                <w:b w:val="0"/>
                <w:bCs w:val="0"/>
                <w:sz w:val="24"/>
                <w:szCs w:val="24"/>
                <w:vertAlign w:val="baseline"/>
                <w:lang w:val="en-US" w:eastAsia="zh-CN"/>
              </w:rPr>
            </w:pPr>
            <w:r>
              <w:rPr>
                <w:rFonts w:hint="default" w:ascii="Times New Roman" w:hAnsi="Times New Roman" w:eastAsia="黑体" w:cs="Times New Roman"/>
                <w:b w:val="0"/>
                <w:bCs w:val="0"/>
                <w:sz w:val="24"/>
                <w:szCs w:val="24"/>
                <w:vertAlign w:val="baseline"/>
                <w:lang w:val="en-US" w:eastAsia="zh-CN"/>
              </w:rPr>
              <w:t>污染源数</w:t>
            </w:r>
          </w:p>
        </w:tc>
        <w:tc>
          <w:tcPr>
            <w:tcW w:w="2251" w:type="dxa"/>
            <w:tcBorders>
              <w:top w:val="single" w:color="auto" w:sz="12" w:space="0"/>
              <w:left w:val="nil"/>
              <w:bottom w:val="single" w:color="auto" w:sz="12" w:space="0"/>
              <w:right w:val="nil"/>
            </w:tcBorders>
            <w:vAlign w:val="center"/>
          </w:tcPr>
          <w:p>
            <w:pPr>
              <w:ind w:left="0" w:leftChars="0" w:firstLine="0" w:firstLineChars="0"/>
              <w:jc w:val="center"/>
              <w:rPr>
                <w:rFonts w:hint="default" w:ascii="Times New Roman" w:hAnsi="Times New Roman" w:eastAsia="黑体" w:cs="Times New Roman"/>
                <w:b w:val="0"/>
                <w:bCs w:val="0"/>
                <w:sz w:val="24"/>
                <w:szCs w:val="24"/>
                <w:vertAlign w:val="baseline"/>
                <w:lang w:val="en-US" w:eastAsia="zh-CN"/>
              </w:rPr>
            </w:pPr>
            <w:r>
              <w:rPr>
                <w:rFonts w:hint="default" w:ascii="Times New Roman" w:hAnsi="Times New Roman" w:eastAsia="黑体" w:cs="Times New Roman"/>
                <w:b w:val="0"/>
                <w:bCs w:val="0"/>
                <w:sz w:val="24"/>
                <w:szCs w:val="24"/>
                <w:vertAlign w:val="baseline"/>
                <w:lang w:val="en-US" w:eastAsia="zh-CN"/>
              </w:rPr>
              <w:t>超标企业数</w:t>
            </w:r>
          </w:p>
        </w:tc>
        <w:tc>
          <w:tcPr>
            <w:tcW w:w="2251" w:type="dxa"/>
            <w:tcBorders>
              <w:top w:val="single" w:color="auto" w:sz="12" w:space="0"/>
              <w:left w:val="nil"/>
              <w:bottom w:val="single" w:color="auto" w:sz="12" w:space="0"/>
              <w:right w:val="nil"/>
            </w:tcBorders>
            <w:vAlign w:val="center"/>
          </w:tcPr>
          <w:p>
            <w:pPr>
              <w:ind w:left="0" w:leftChars="0" w:firstLine="0" w:firstLineChars="0"/>
              <w:jc w:val="center"/>
              <w:rPr>
                <w:rFonts w:hint="default" w:ascii="Times New Roman" w:hAnsi="Times New Roman" w:eastAsia="黑体" w:cs="Times New Roman"/>
                <w:b w:val="0"/>
                <w:bCs w:val="0"/>
                <w:sz w:val="24"/>
                <w:szCs w:val="24"/>
                <w:vertAlign w:val="baseline"/>
                <w:lang w:val="en-US" w:eastAsia="zh-CN"/>
              </w:rPr>
            </w:pPr>
            <w:r>
              <w:rPr>
                <w:rFonts w:hint="default" w:ascii="Times New Roman" w:hAnsi="Times New Roman" w:eastAsia="黑体" w:cs="Times New Roman"/>
                <w:b w:val="0"/>
                <w:bCs w:val="0"/>
                <w:sz w:val="24"/>
                <w:szCs w:val="24"/>
                <w:vertAlign w:val="baseline"/>
                <w:lang w:val="en-US" w:eastAsia="zh-CN"/>
              </w:rPr>
              <w:t>达标企业比例（%）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51" w:type="dxa"/>
            <w:tcBorders>
              <w:top w:val="single" w:color="auto" w:sz="12" w:space="0"/>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COD</w:t>
            </w:r>
          </w:p>
        </w:tc>
        <w:tc>
          <w:tcPr>
            <w:tcW w:w="2251" w:type="dxa"/>
            <w:tcBorders>
              <w:top w:val="single" w:color="auto" w:sz="12" w:space="0"/>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336</w:t>
            </w:r>
          </w:p>
        </w:tc>
        <w:tc>
          <w:tcPr>
            <w:tcW w:w="2251" w:type="dxa"/>
            <w:tcBorders>
              <w:top w:val="single" w:color="auto" w:sz="12" w:space="0"/>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w:t>
            </w:r>
          </w:p>
        </w:tc>
        <w:tc>
          <w:tcPr>
            <w:tcW w:w="2251" w:type="dxa"/>
            <w:tcBorders>
              <w:top w:val="single" w:color="auto" w:sz="12" w:space="0"/>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pH值</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288</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氨氮</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298</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悬浮物</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246</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生化需氧量</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141</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总磷</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197</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总氮</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149</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色度</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87</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粪大肠杆菌</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90</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石油类</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74</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动植物油</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63</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硫化物</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12</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六价铬</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56</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总铬</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44</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挥发酚</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42</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阴离子表面活性剂</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54</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氟化物</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8</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苯胺类</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5</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磷酸盐</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7</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二氯甲烷</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4</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氯化汞</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4</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硝基苯类</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4</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甲醛</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3</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乙腈</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3</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总余氯</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6</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总铅</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52</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总氰化物</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37</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二氧化氯</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总铝</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总锰</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烷基汞</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17</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总镍</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13</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总铜</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14</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总有机碳</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15</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总铁</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4</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总汞</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49</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总镉</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52</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总砷</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47</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总锌</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16</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流量</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w:t>
            </w:r>
          </w:p>
        </w:tc>
        <w:tc>
          <w:tcPr>
            <w:tcW w:w="2251"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51" w:type="dxa"/>
            <w:tcBorders>
              <w:top w:val="nil"/>
              <w:left w:val="nil"/>
              <w:bottom w:val="single" w:color="auto" w:sz="12" w:space="0"/>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水温</w:t>
            </w:r>
          </w:p>
        </w:tc>
        <w:tc>
          <w:tcPr>
            <w:tcW w:w="2251" w:type="dxa"/>
            <w:tcBorders>
              <w:top w:val="nil"/>
              <w:left w:val="nil"/>
              <w:bottom w:val="single" w:color="auto" w:sz="12" w:space="0"/>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7</w:t>
            </w:r>
          </w:p>
        </w:tc>
        <w:tc>
          <w:tcPr>
            <w:tcW w:w="2251" w:type="dxa"/>
            <w:tcBorders>
              <w:top w:val="nil"/>
              <w:left w:val="nil"/>
              <w:bottom w:val="single" w:color="auto" w:sz="12" w:space="0"/>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w:t>
            </w:r>
          </w:p>
        </w:tc>
        <w:tc>
          <w:tcPr>
            <w:tcW w:w="2251" w:type="dxa"/>
            <w:tcBorders>
              <w:top w:val="nil"/>
              <w:left w:val="nil"/>
              <w:bottom w:val="single" w:color="auto" w:sz="12" w:space="0"/>
              <w:right w:val="nil"/>
            </w:tcBorders>
            <w:vAlign w:val="center"/>
          </w:tcPr>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100</w:t>
            </w:r>
          </w:p>
        </w:tc>
      </w:tr>
    </w:tbl>
    <w:p>
      <w:pPr>
        <w:ind w:left="0" w:leftChars="0" w:firstLine="0" w:firstLineChars="0"/>
        <w:jc w:val="center"/>
        <w:rPr>
          <w:rFonts w:hint="default" w:ascii="Times New Roman" w:hAnsi="Times New Roman" w:cs="Times New Roman"/>
        </w:rPr>
      </w:pPr>
      <w:r>
        <w:rPr>
          <w:rFonts w:hint="default" w:ascii="Times New Roman" w:hAnsi="Times New Roman" w:cs="Times New Roman"/>
        </w:rPr>
        <w:drawing>
          <wp:inline distT="0" distB="0" distL="114300" distR="114300">
            <wp:extent cx="4686300" cy="2860040"/>
            <wp:effectExtent l="0" t="0" r="0" b="0"/>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keepNext w:val="0"/>
        <w:keepLines w:val="0"/>
        <w:pageBreakBefore w:val="0"/>
        <w:widowControl w:val="0"/>
        <w:kinsoku/>
        <w:wordWrap/>
        <w:overflowPunct/>
        <w:topLinePunct w:val="0"/>
        <w:autoSpaceDE/>
        <w:autoSpaceDN/>
        <w:bidi w:val="0"/>
        <w:adjustRightInd/>
        <w:snapToGrid/>
        <w:spacing w:after="157" w:afterLines="50" w:line="360" w:lineRule="auto"/>
        <w:ind w:left="0" w:leftChars="0" w:firstLine="0" w:firstLineChars="0"/>
        <w:jc w:val="center"/>
        <w:textAlignment w:val="auto"/>
        <w:rPr>
          <w:rFonts w:hint="default" w:ascii="Times New Roman" w:hAnsi="Times New Roman" w:eastAsia="黑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4"/>
          <w:szCs w:val="24"/>
          <w:highlight w:val="none"/>
          <w:lang w:val="en-US" w:eastAsia="zh-CN"/>
          <w14:textFill>
            <w14:solidFill>
              <w14:schemeClr w14:val="tx1"/>
            </w14:solidFill>
          </w14:textFill>
        </w:rPr>
        <w:t>图2-2  2022年各市（州）主要污染物排放达标情况</w:t>
      </w:r>
    </w:p>
    <w:p>
      <w:pPr>
        <w:pStyle w:val="3"/>
        <w:bidi w:val="0"/>
        <w:rPr>
          <w:rFonts w:hint="default" w:ascii="Times New Roman" w:hAnsi="Times New Roman" w:eastAsia="黑体" w:cs="Times New Roman"/>
          <w:b w:val="0"/>
          <w:bCs/>
          <w:sz w:val="28"/>
          <w:szCs w:val="28"/>
          <w:lang w:val="en-US" w:eastAsia="zh-CN"/>
        </w:rPr>
      </w:pPr>
      <w:bookmarkStart w:id="17" w:name="_Toc19928"/>
      <w:bookmarkStart w:id="18" w:name="_Toc14418"/>
      <w:bookmarkStart w:id="19" w:name="_Toc9430"/>
      <w:r>
        <w:rPr>
          <w:rFonts w:hint="default" w:ascii="Times New Roman" w:hAnsi="Times New Roman" w:eastAsia="黑体" w:cs="Times New Roman"/>
          <w:b w:val="0"/>
          <w:bCs/>
          <w:sz w:val="28"/>
          <w:szCs w:val="28"/>
          <w:lang w:val="en-US" w:eastAsia="zh-CN"/>
        </w:rPr>
        <w:t>2.1.3 废水污染源执法监测行业排放达标情况</w:t>
      </w:r>
      <w:bookmarkEnd w:id="17"/>
      <w:bookmarkEnd w:id="18"/>
      <w:bookmarkEnd w:id="19"/>
    </w:p>
    <w:p>
      <w:pPr>
        <w:bidi w:val="0"/>
        <w:ind w:firstLine="560" w:firstLineChars="200"/>
        <w:rPr>
          <w:rFonts w:hint="default" w:ascii="Times New Roman" w:hAnsi="Times New Roman" w:cs="Times New Roman"/>
          <w:color w:val="002060"/>
          <w:highlight w:val="yellow"/>
          <w:lang w:eastAsia="zh-CN"/>
          <w14:textFill>
            <w14:gradFill>
              <w14:gsLst>
                <w14:gs w14:pos="0">
                  <w14:srgbClr w14:val="E30000"/>
                </w14:gs>
                <w14:gs w14:pos="100000">
                  <w14:srgbClr w14:val="760303"/>
                </w14:gs>
              </w14:gsLst>
              <w14:lin w14:scaled="0"/>
            </w14:gra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2022年，全省废水污染源执法监测企业涉及农副食品加工业、化学原料和化学制品制造业、医药制造业、水的生产和供应业、和社会工作等29个行业。前五个行业分别占监督监测企业总数的9.8%、5.5%、11.2%、30.5%和13.8%，详见图2-3。监测的29个行业企业达标率均为100%，详见表2-3。</w:t>
      </w:r>
    </w:p>
    <w:p>
      <w:pPr>
        <w:bidi w:val="0"/>
        <w:ind w:left="0" w:leftChars="0" w:firstLine="0" w:firstLineChars="0"/>
        <w:jc w:val="center"/>
        <w:rPr>
          <w:rFonts w:hint="default" w:ascii="Times New Roman" w:hAnsi="Times New Roman" w:cs="Times New Roman"/>
          <w:color w:val="002060"/>
          <w:highlight w:val="none"/>
          <w:lang w:val="en-US" w:eastAsia="zh-CN"/>
          <w14:textFill>
            <w14:gradFill>
              <w14:gsLst>
                <w14:gs w14:pos="0">
                  <w14:srgbClr w14:val="E30000"/>
                </w14:gs>
                <w14:gs w14:pos="100000">
                  <w14:srgbClr w14:val="760303"/>
                </w14:gs>
              </w14:gsLst>
              <w14:lin w14:scaled="0"/>
            </w14:gradFill>
          </w14:textFill>
        </w:rPr>
      </w:pPr>
      <w:r>
        <w:rPr>
          <w:rFonts w:hint="default" w:ascii="Times New Roman" w:hAnsi="Times New Roman" w:cs="Times New Roman"/>
        </w:rPr>
        <w:drawing>
          <wp:inline distT="0" distB="0" distL="114300" distR="114300">
            <wp:extent cx="4866640" cy="3114040"/>
            <wp:effectExtent l="0" t="0" r="0" b="0"/>
            <wp:docPr id="6"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bidi w:val="0"/>
        <w:jc w:val="center"/>
        <w:rPr>
          <w:rFonts w:hint="default" w:ascii="Times New Roman" w:hAnsi="Times New Roman" w:cs="Times New Roman"/>
          <w:b/>
          <w:bCs/>
          <w:color w:val="002060"/>
          <w:sz w:val="21"/>
          <w:szCs w:val="21"/>
          <w:lang w:val="en-US" w:eastAsia="zh-CN"/>
          <w14:textFill>
            <w14:gradFill>
              <w14:gsLst>
                <w14:gs w14:pos="0">
                  <w14:srgbClr w14:val="E30000"/>
                </w14:gs>
                <w14:gs w14:pos="100000">
                  <w14:srgbClr w14:val="760303"/>
                </w14:gs>
              </w14:gsLst>
              <w14:lin w14:scaled="0"/>
            </w14:gradFill>
          </w14:textFill>
        </w:rPr>
      </w:pPr>
    </w:p>
    <w:p>
      <w:pPr>
        <w:bidi w:val="0"/>
        <w:jc w:val="center"/>
        <w:rPr>
          <w:rFonts w:hint="default" w:ascii="Times New Roman" w:hAnsi="Times New Roman" w:eastAsia="黑体" w:cs="Times New Roman"/>
          <w:b w:val="0"/>
          <w:bCs w:val="0"/>
          <w:color w:val="002060"/>
          <w:sz w:val="24"/>
          <w:szCs w:val="24"/>
          <w:lang w:val="en-US" w:eastAsia="zh-CN"/>
          <w14:textFill>
            <w14:gradFill>
              <w14:gsLst>
                <w14:gs w14:pos="0">
                  <w14:srgbClr w14:val="E30000"/>
                </w14:gs>
                <w14:gs w14:pos="100000">
                  <w14:srgbClr w14:val="760303"/>
                </w14:gs>
              </w14:gsLst>
              <w14:lin w14:scaled="0"/>
            </w14:gradFill>
          </w14:textFill>
        </w:rPr>
      </w:pPr>
      <w:r>
        <w:rPr>
          <w:rFonts w:hint="default" w:ascii="Times New Roman" w:hAnsi="Times New Roman" w:eastAsia="黑体" w:cs="Times New Roman"/>
          <w:b w:val="0"/>
          <w:bCs w:val="0"/>
          <w:color w:val="000000" w:themeColor="text1"/>
          <w:sz w:val="24"/>
          <w:szCs w:val="24"/>
          <w:lang w:val="en-US" w:eastAsia="zh-CN"/>
          <w14:textFill>
            <w14:solidFill>
              <w14:schemeClr w14:val="tx1"/>
            </w14:solidFill>
          </w14:textFill>
        </w:rPr>
        <w:t>图2-3  2022年全省废水污染源行业分布情况</w:t>
      </w:r>
    </w:p>
    <w:p>
      <w:pPr>
        <w:keepNext w:val="0"/>
        <w:keepLines w:val="0"/>
        <w:pageBreakBefore w:val="0"/>
        <w:widowControl w:val="0"/>
        <w:kinsoku/>
        <w:wordWrap/>
        <w:overflowPunct/>
        <w:topLinePunct w:val="0"/>
        <w:autoSpaceDE/>
        <w:autoSpaceDN/>
        <w:bidi w:val="0"/>
        <w:adjustRightInd/>
        <w:snapToGrid/>
        <w:spacing w:before="157" w:beforeLines="50" w:line="240" w:lineRule="auto"/>
        <w:ind w:left="0" w:leftChars="0" w:firstLine="0" w:firstLineChars="0"/>
        <w:jc w:val="center"/>
        <w:textAlignment w:val="auto"/>
        <w:rPr>
          <w:rFonts w:hint="default" w:ascii="Times New Roman" w:hAnsi="Times New Roman" w:eastAsia="黑体"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4"/>
          <w:szCs w:val="24"/>
          <w:lang w:val="en-US" w:eastAsia="zh-CN"/>
          <w14:textFill>
            <w14:solidFill>
              <w14:schemeClr w14:val="tx1"/>
            </w14:solidFill>
          </w14:textFill>
        </w:rPr>
        <w:t>表2-3  2022年全省废水污染源各行业排放达标情况</w:t>
      </w:r>
    </w:p>
    <w:tbl>
      <w:tblPr>
        <w:tblStyle w:val="11"/>
        <w:tblW w:w="9137"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85"/>
        <w:gridCol w:w="2764"/>
        <w:gridCol w:w="813"/>
        <w:gridCol w:w="1331"/>
        <w:gridCol w:w="1312"/>
        <w:gridCol w:w="1163"/>
        <w:gridCol w:w="1069"/>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blHeader/>
        </w:trPr>
        <w:tc>
          <w:tcPr>
            <w:tcW w:w="685" w:type="dxa"/>
            <w:tcBorders>
              <w:bottom w:val="single" w:color="auto" w:sz="12" w:space="0"/>
            </w:tcBorders>
            <w:vAlign w:val="center"/>
          </w:tcPr>
          <w:p>
            <w:pPr>
              <w:tabs>
                <w:tab w:val="left" w:pos="1730"/>
              </w:tabs>
              <w:bidi w:val="0"/>
              <w:jc w:val="center"/>
              <w:rPr>
                <w:rFonts w:hint="default" w:ascii="Times New Roman" w:hAnsi="Times New Roman" w:eastAsia="黑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4"/>
                <w:szCs w:val="24"/>
                <w:highlight w:val="none"/>
                <w:lang w:val="en-US" w:eastAsia="zh-CN"/>
                <w14:textFill>
                  <w14:solidFill>
                    <w14:schemeClr w14:val="tx1"/>
                  </w14:solidFill>
                </w14:textFill>
              </w:rPr>
              <w:t>序号</w:t>
            </w:r>
          </w:p>
        </w:tc>
        <w:tc>
          <w:tcPr>
            <w:tcW w:w="2764" w:type="dxa"/>
            <w:tcBorders>
              <w:bottom w:val="single" w:color="auto" w:sz="12" w:space="0"/>
            </w:tcBorders>
            <w:vAlign w:val="center"/>
          </w:tcPr>
          <w:p>
            <w:pPr>
              <w:widowControl/>
              <w:adjustRightInd w:val="0"/>
              <w:snapToGrid w:val="0"/>
              <w:ind w:left="0" w:leftChars="0" w:firstLine="0" w:firstLineChars="0"/>
              <w:jc w:val="center"/>
              <w:rPr>
                <w:rFonts w:hint="default" w:ascii="Times New Roman" w:hAnsi="Times New Roman" w:eastAsia="黑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4"/>
                <w:szCs w:val="24"/>
                <w:highlight w:val="none"/>
                <w:lang w:val="en-US" w:eastAsia="zh-CN"/>
                <w14:textFill>
                  <w14:solidFill>
                    <w14:schemeClr w14:val="tx1"/>
                  </w14:solidFill>
                </w14:textFill>
              </w:rPr>
              <w:t>行业</w:t>
            </w:r>
          </w:p>
        </w:tc>
        <w:tc>
          <w:tcPr>
            <w:tcW w:w="813" w:type="dxa"/>
            <w:tcBorders>
              <w:bottom w:val="single" w:color="auto" w:sz="12" w:space="0"/>
            </w:tcBorders>
            <w:vAlign w:val="center"/>
          </w:tcPr>
          <w:p>
            <w:pPr>
              <w:widowControl/>
              <w:adjustRightInd w:val="0"/>
              <w:snapToGrid w:val="0"/>
              <w:ind w:left="0" w:leftChars="0" w:firstLine="0" w:firstLineChars="0"/>
              <w:jc w:val="center"/>
              <w:rPr>
                <w:rFonts w:hint="default" w:ascii="Times New Roman" w:hAnsi="Times New Roman" w:eastAsia="黑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4"/>
                <w:szCs w:val="24"/>
                <w:highlight w:val="none"/>
                <w:lang w:val="en-US" w:eastAsia="zh-CN"/>
                <w14:textFill>
                  <w14:solidFill>
                    <w14:schemeClr w14:val="tx1"/>
                  </w14:solidFill>
                </w14:textFill>
              </w:rPr>
              <w:t>污染源数</w:t>
            </w:r>
          </w:p>
        </w:tc>
        <w:tc>
          <w:tcPr>
            <w:tcW w:w="1331" w:type="dxa"/>
            <w:tcBorders>
              <w:bottom w:val="single" w:color="auto" w:sz="12" w:space="0"/>
            </w:tcBorders>
            <w:vAlign w:val="center"/>
          </w:tcPr>
          <w:p>
            <w:pPr>
              <w:widowControl/>
              <w:adjustRightInd w:val="0"/>
              <w:snapToGrid w:val="0"/>
              <w:ind w:left="0" w:leftChars="0" w:firstLine="0" w:firstLineChars="0"/>
              <w:jc w:val="center"/>
              <w:rPr>
                <w:rFonts w:hint="default" w:ascii="Times New Roman" w:hAnsi="Times New Roman" w:eastAsia="黑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4"/>
                <w:szCs w:val="24"/>
                <w:highlight w:val="none"/>
                <w:lang w:val="en-US" w:eastAsia="zh-CN"/>
                <w14:textFill>
                  <w14:solidFill>
                    <w14:schemeClr w14:val="tx1"/>
                  </w14:solidFill>
                </w14:textFill>
              </w:rPr>
              <w:t>占监测企业比例（%）</w:t>
            </w:r>
          </w:p>
        </w:tc>
        <w:tc>
          <w:tcPr>
            <w:tcW w:w="1312" w:type="dxa"/>
            <w:tcBorders>
              <w:bottom w:val="single" w:color="auto" w:sz="12" w:space="0"/>
            </w:tcBorders>
            <w:vAlign w:val="center"/>
          </w:tcPr>
          <w:p>
            <w:pPr>
              <w:widowControl/>
              <w:adjustRightInd w:val="0"/>
              <w:snapToGrid w:val="0"/>
              <w:ind w:left="0" w:leftChars="0" w:firstLine="0" w:firstLineChars="0"/>
              <w:jc w:val="center"/>
              <w:rPr>
                <w:rFonts w:hint="default" w:ascii="Times New Roman" w:hAnsi="Times New Roman" w:eastAsia="黑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4"/>
                <w:szCs w:val="24"/>
                <w:highlight w:val="none"/>
                <w:lang w:val="en-US" w:eastAsia="zh-CN"/>
                <w14:textFill>
                  <w14:solidFill>
                    <w14:schemeClr w14:val="tx1"/>
                  </w14:solidFill>
                </w14:textFill>
              </w:rPr>
              <w:t>达标企业比例（%）</w:t>
            </w:r>
          </w:p>
        </w:tc>
        <w:tc>
          <w:tcPr>
            <w:tcW w:w="1163" w:type="dxa"/>
            <w:tcBorders>
              <w:bottom w:val="single" w:color="auto" w:sz="12" w:space="0"/>
            </w:tcBorders>
            <w:vAlign w:val="center"/>
          </w:tcPr>
          <w:p>
            <w:pPr>
              <w:widowControl/>
              <w:adjustRightInd w:val="0"/>
              <w:snapToGrid w:val="0"/>
              <w:ind w:left="0" w:leftChars="0" w:firstLine="0" w:firstLineChars="0"/>
              <w:jc w:val="center"/>
              <w:rPr>
                <w:rFonts w:hint="default" w:ascii="Times New Roman" w:hAnsi="Times New Roman" w:eastAsia="黑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4"/>
                <w:szCs w:val="24"/>
                <w:highlight w:val="none"/>
                <w:lang w:val="en-US" w:eastAsia="zh-CN"/>
                <w14:textFill>
                  <w14:solidFill>
                    <w14:schemeClr w14:val="tx1"/>
                  </w14:solidFill>
                </w14:textFill>
              </w:rPr>
              <w:t>COD达标率（%）</w:t>
            </w:r>
          </w:p>
        </w:tc>
        <w:tc>
          <w:tcPr>
            <w:tcW w:w="1069" w:type="dxa"/>
            <w:tcBorders>
              <w:bottom w:val="single" w:color="auto" w:sz="12" w:space="0"/>
            </w:tcBorders>
            <w:vAlign w:val="center"/>
          </w:tcPr>
          <w:p>
            <w:pPr>
              <w:widowControl/>
              <w:adjustRightInd w:val="0"/>
              <w:snapToGrid w:val="0"/>
              <w:ind w:left="0" w:leftChars="0" w:firstLine="0" w:firstLineChars="0"/>
              <w:jc w:val="center"/>
              <w:rPr>
                <w:rFonts w:hint="default" w:ascii="Times New Roman" w:hAnsi="Times New Roman" w:eastAsia="黑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4"/>
                <w:szCs w:val="24"/>
                <w:highlight w:val="none"/>
                <w:lang w:val="en-US" w:eastAsia="zh-CN"/>
                <w14:textFill>
                  <w14:solidFill>
                    <w14:schemeClr w14:val="tx1"/>
                  </w14:solidFill>
                </w14:textFill>
              </w:rPr>
              <w:t>氨氮达标率（%）</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33" w:hRule="atLeast"/>
        </w:trPr>
        <w:tc>
          <w:tcPr>
            <w:tcW w:w="685" w:type="dxa"/>
            <w:tcBorders>
              <w:top w:val="single" w:color="auto" w:sz="12" w:space="0"/>
              <w:bottom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w:t>
            </w:r>
          </w:p>
        </w:tc>
        <w:tc>
          <w:tcPr>
            <w:tcW w:w="2764" w:type="dxa"/>
            <w:tcBorders>
              <w:top w:val="single" w:color="auto" w:sz="12" w:space="0"/>
              <w:bottom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煤炭开采和洗选业</w:t>
            </w:r>
          </w:p>
        </w:tc>
        <w:tc>
          <w:tcPr>
            <w:tcW w:w="813" w:type="dxa"/>
            <w:tcBorders>
              <w:top w:val="single" w:color="auto" w:sz="12" w:space="0"/>
              <w:bottom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w:t>
            </w:r>
          </w:p>
        </w:tc>
        <w:tc>
          <w:tcPr>
            <w:tcW w:w="1331" w:type="dxa"/>
            <w:tcBorders>
              <w:top w:val="single" w:color="auto" w:sz="12" w:space="0"/>
              <w:bottom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0.3</w:t>
            </w:r>
          </w:p>
        </w:tc>
        <w:tc>
          <w:tcPr>
            <w:tcW w:w="1312" w:type="dxa"/>
            <w:tcBorders>
              <w:top w:val="single" w:color="auto" w:sz="12" w:space="0"/>
              <w:bottom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163" w:type="dxa"/>
            <w:tcBorders>
              <w:top w:val="single" w:color="auto" w:sz="12" w:space="0"/>
              <w:bottom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069" w:type="dxa"/>
            <w:tcBorders>
              <w:top w:val="single" w:color="auto" w:sz="12" w:space="0"/>
              <w:bottom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33" w:hRule="atLeast"/>
        </w:trPr>
        <w:tc>
          <w:tcPr>
            <w:tcW w:w="685" w:type="dxa"/>
            <w:tcBorders>
              <w:top w:val="nil"/>
              <w:bottom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2</w:t>
            </w:r>
          </w:p>
        </w:tc>
        <w:tc>
          <w:tcPr>
            <w:tcW w:w="2764" w:type="dxa"/>
            <w:tcBorders>
              <w:top w:val="nil"/>
              <w:bottom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石油和天然气开采业</w:t>
            </w:r>
          </w:p>
        </w:tc>
        <w:tc>
          <w:tcPr>
            <w:tcW w:w="813" w:type="dxa"/>
            <w:tcBorders>
              <w:top w:val="nil"/>
              <w:bottom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w:t>
            </w:r>
          </w:p>
        </w:tc>
        <w:tc>
          <w:tcPr>
            <w:tcW w:w="1331" w:type="dxa"/>
            <w:tcBorders>
              <w:top w:val="nil"/>
              <w:bottom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0.3</w:t>
            </w:r>
          </w:p>
        </w:tc>
        <w:tc>
          <w:tcPr>
            <w:tcW w:w="1312" w:type="dxa"/>
            <w:tcBorders>
              <w:top w:val="nil"/>
              <w:bottom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163" w:type="dxa"/>
            <w:tcBorders>
              <w:top w:val="nil"/>
              <w:bottom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069" w:type="dxa"/>
            <w:tcBorders>
              <w:top w:val="nil"/>
              <w:bottom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33" w:hRule="atLeast"/>
        </w:trPr>
        <w:tc>
          <w:tcPr>
            <w:tcW w:w="685" w:type="dxa"/>
            <w:tcBorders>
              <w:top w:val="nil"/>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3</w:t>
            </w:r>
          </w:p>
        </w:tc>
        <w:tc>
          <w:tcPr>
            <w:tcW w:w="2764" w:type="dxa"/>
            <w:tcBorders>
              <w:top w:val="nil"/>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有色金属矿采选业</w:t>
            </w:r>
          </w:p>
        </w:tc>
        <w:tc>
          <w:tcPr>
            <w:tcW w:w="813" w:type="dxa"/>
            <w:tcBorders>
              <w:top w:val="nil"/>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w:t>
            </w:r>
          </w:p>
        </w:tc>
        <w:tc>
          <w:tcPr>
            <w:tcW w:w="1331" w:type="dxa"/>
            <w:tcBorders>
              <w:top w:val="nil"/>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0.3</w:t>
            </w:r>
          </w:p>
        </w:tc>
        <w:tc>
          <w:tcPr>
            <w:tcW w:w="1312" w:type="dxa"/>
            <w:tcBorders>
              <w:top w:val="nil"/>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163" w:type="dxa"/>
            <w:tcBorders>
              <w:top w:val="nil"/>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069" w:type="dxa"/>
            <w:tcBorders>
              <w:top w:val="nil"/>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6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4</w:t>
            </w:r>
          </w:p>
        </w:tc>
        <w:tc>
          <w:tcPr>
            <w:tcW w:w="276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农副食品加工业</w:t>
            </w:r>
          </w:p>
        </w:tc>
        <w:tc>
          <w:tcPr>
            <w:tcW w:w="8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34</w:t>
            </w:r>
          </w:p>
        </w:tc>
        <w:tc>
          <w:tcPr>
            <w:tcW w:w="133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9.8</w:t>
            </w:r>
          </w:p>
        </w:tc>
        <w:tc>
          <w:tcPr>
            <w:tcW w:w="13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16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06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6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5</w:t>
            </w:r>
          </w:p>
        </w:tc>
        <w:tc>
          <w:tcPr>
            <w:tcW w:w="276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食品制造业</w:t>
            </w:r>
          </w:p>
        </w:tc>
        <w:tc>
          <w:tcPr>
            <w:tcW w:w="8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5</w:t>
            </w:r>
          </w:p>
        </w:tc>
        <w:tc>
          <w:tcPr>
            <w:tcW w:w="133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1.4</w:t>
            </w:r>
          </w:p>
        </w:tc>
        <w:tc>
          <w:tcPr>
            <w:tcW w:w="13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16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06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97" w:hRule="atLeast"/>
        </w:trPr>
        <w:tc>
          <w:tcPr>
            <w:tcW w:w="6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6</w:t>
            </w:r>
          </w:p>
        </w:tc>
        <w:tc>
          <w:tcPr>
            <w:tcW w:w="276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Times New Roman" w:hAnsi="Times New Roman" w:eastAsia="仿宋" w:cs="Times New Roman"/>
                <w:b w:val="0"/>
                <w:bCs w:val="0"/>
                <w:color w:val="002060"/>
                <w:sz w:val="21"/>
                <w:szCs w:val="21"/>
                <w:vertAlign w:val="baseline"/>
                <w:lang w:val="en-US" w:eastAsia="zh-CN"/>
                <w14:textFill>
                  <w14:gradFill>
                    <w14:gsLst>
                      <w14:gs w14:pos="0">
                        <w14:srgbClr w14:val="E30000"/>
                      </w14:gs>
                      <w14:gs w14:pos="100000">
                        <w14:srgbClr w14:val="760303"/>
                      </w14:gs>
                    </w14:gsLst>
                    <w14:lin w14:scaled="0"/>
                  </w14:gra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酒、饮料和精制茶制造业</w:t>
            </w:r>
          </w:p>
        </w:tc>
        <w:tc>
          <w:tcPr>
            <w:tcW w:w="8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2060"/>
                <w:sz w:val="21"/>
                <w:szCs w:val="21"/>
                <w:vertAlign w:val="baseline"/>
                <w:lang w:val="en-US" w:eastAsia="zh-CN"/>
                <w14:textFill>
                  <w14:gradFill>
                    <w14:gsLst>
                      <w14:gs w14:pos="0">
                        <w14:srgbClr w14:val="E30000"/>
                      </w14:gs>
                      <w14:gs w14:pos="100000">
                        <w14:srgbClr w14:val="760303"/>
                      </w14:gs>
                    </w14:gsLst>
                    <w14:lin w14:scaled="0"/>
                  </w14:gra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w:t>
            </w:r>
          </w:p>
        </w:tc>
        <w:tc>
          <w:tcPr>
            <w:tcW w:w="133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2.9</w:t>
            </w:r>
          </w:p>
        </w:tc>
        <w:tc>
          <w:tcPr>
            <w:tcW w:w="13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16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06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c>
          <w:tcPr>
            <w:tcW w:w="6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7</w:t>
            </w:r>
          </w:p>
        </w:tc>
        <w:tc>
          <w:tcPr>
            <w:tcW w:w="276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纺织业</w:t>
            </w:r>
          </w:p>
        </w:tc>
        <w:tc>
          <w:tcPr>
            <w:tcW w:w="8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 w:eastAsia="zh-CN"/>
                <w14:textFill>
                  <w14:solidFill>
                    <w14:schemeClr w14:val="tx1"/>
                  </w14:solidFill>
                </w14:textFill>
              </w:rPr>
              <w:t>3</w:t>
            </w:r>
          </w:p>
        </w:tc>
        <w:tc>
          <w:tcPr>
            <w:tcW w:w="133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0.9</w:t>
            </w:r>
          </w:p>
        </w:tc>
        <w:tc>
          <w:tcPr>
            <w:tcW w:w="13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16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06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c>
          <w:tcPr>
            <w:tcW w:w="6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8</w:t>
            </w:r>
          </w:p>
        </w:tc>
        <w:tc>
          <w:tcPr>
            <w:tcW w:w="276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纺织服装、服饰业</w:t>
            </w:r>
          </w:p>
        </w:tc>
        <w:tc>
          <w:tcPr>
            <w:tcW w:w="8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w:t>
            </w:r>
          </w:p>
        </w:tc>
        <w:tc>
          <w:tcPr>
            <w:tcW w:w="133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0.3</w:t>
            </w:r>
          </w:p>
        </w:tc>
        <w:tc>
          <w:tcPr>
            <w:tcW w:w="13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16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06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6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9</w:t>
            </w:r>
          </w:p>
        </w:tc>
        <w:tc>
          <w:tcPr>
            <w:tcW w:w="276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皮革、毛皮、羽毛及其制品和制鞋业</w:t>
            </w:r>
          </w:p>
        </w:tc>
        <w:tc>
          <w:tcPr>
            <w:tcW w:w="8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w:t>
            </w:r>
          </w:p>
        </w:tc>
        <w:tc>
          <w:tcPr>
            <w:tcW w:w="133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0.3</w:t>
            </w:r>
          </w:p>
        </w:tc>
        <w:tc>
          <w:tcPr>
            <w:tcW w:w="13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16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06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6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w:t>
            </w:r>
          </w:p>
        </w:tc>
        <w:tc>
          <w:tcPr>
            <w:tcW w:w="276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造纸和纸制品业</w:t>
            </w:r>
          </w:p>
        </w:tc>
        <w:tc>
          <w:tcPr>
            <w:tcW w:w="8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5</w:t>
            </w:r>
          </w:p>
        </w:tc>
        <w:tc>
          <w:tcPr>
            <w:tcW w:w="133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1.4</w:t>
            </w:r>
          </w:p>
        </w:tc>
        <w:tc>
          <w:tcPr>
            <w:tcW w:w="13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16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06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6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11</w:t>
            </w:r>
          </w:p>
        </w:tc>
        <w:tc>
          <w:tcPr>
            <w:tcW w:w="276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石油加工、炼焦和核燃料加工业</w:t>
            </w:r>
          </w:p>
        </w:tc>
        <w:tc>
          <w:tcPr>
            <w:tcW w:w="8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 w:eastAsia="zh-CN"/>
                <w14:textFill>
                  <w14:solidFill>
                    <w14:schemeClr w14:val="tx1"/>
                  </w14:solidFill>
                </w14:textFill>
              </w:rPr>
              <w:t>1</w:t>
            </w:r>
          </w:p>
        </w:tc>
        <w:tc>
          <w:tcPr>
            <w:tcW w:w="133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0.3</w:t>
            </w:r>
          </w:p>
        </w:tc>
        <w:tc>
          <w:tcPr>
            <w:tcW w:w="13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16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06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6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12</w:t>
            </w:r>
          </w:p>
        </w:tc>
        <w:tc>
          <w:tcPr>
            <w:tcW w:w="276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化学原料和化学制品制造业</w:t>
            </w:r>
          </w:p>
        </w:tc>
        <w:tc>
          <w:tcPr>
            <w:tcW w:w="8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19</w:t>
            </w:r>
          </w:p>
        </w:tc>
        <w:tc>
          <w:tcPr>
            <w:tcW w:w="133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5.5</w:t>
            </w:r>
          </w:p>
        </w:tc>
        <w:tc>
          <w:tcPr>
            <w:tcW w:w="13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16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06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6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13</w:t>
            </w:r>
          </w:p>
        </w:tc>
        <w:tc>
          <w:tcPr>
            <w:tcW w:w="276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医药制造业</w:t>
            </w:r>
          </w:p>
        </w:tc>
        <w:tc>
          <w:tcPr>
            <w:tcW w:w="8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39</w:t>
            </w:r>
          </w:p>
        </w:tc>
        <w:tc>
          <w:tcPr>
            <w:tcW w:w="133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11.2</w:t>
            </w:r>
          </w:p>
        </w:tc>
        <w:tc>
          <w:tcPr>
            <w:tcW w:w="13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16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06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6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14</w:t>
            </w:r>
          </w:p>
        </w:tc>
        <w:tc>
          <w:tcPr>
            <w:tcW w:w="276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化学纤维制造业</w:t>
            </w:r>
          </w:p>
        </w:tc>
        <w:tc>
          <w:tcPr>
            <w:tcW w:w="8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3</w:t>
            </w:r>
          </w:p>
        </w:tc>
        <w:tc>
          <w:tcPr>
            <w:tcW w:w="133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0.9</w:t>
            </w:r>
          </w:p>
        </w:tc>
        <w:tc>
          <w:tcPr>
            <w:tcW w:w="13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16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06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6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15</w:t>
            </w:r>
          </w:p>
        </w:tc>
        <w:tc>
          <w:tcPr>
            <w:tcW w:w="276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非金属矿物制品业</w:t>
            </w:r>
          </w:p>
        </w:tc>
        <w:tc>
          <w:tcPr>
            <w:tcW w:w="8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6</w:t>
            </w:r>
          </w:p>
        </w:tc>
        <w:tc>
          <w:tcPr>
            <w:tcW w:w="133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1.7</w:t>
            </w:r>
          </w:p>
        </w:tc>
        <w:tc>
          <w:tcPr>
            <w:tcW w:w="13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16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06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6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16</w:t>
            </w:r>
          </w:p>
        </w:tc>
        <w:tc>
          <w:tcPr>
            <w:tcW w:w="276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黑色金属冶炼和压延加工业</w:t>
            </w:r>
          </w:p>
        </w:tc>
        <w:tc>
          <w:tcPr>
            <w:tcW w:w="8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4</w:t>
            </w:r>
          </w:p>
        </w:tc>
        <w:tc>
          <w:tcPr>
            <w:tcW w:w="133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1.2</w:t>
            </w:r>
          </w:p>
        </w:tc>
        <w:tc>
          <w:tcPr>
            <w:tcW w:w="13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16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06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6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17</w:t>
            </w:r>
          </w:p>
        </w:tc>
        <w:tc>
          <w:tcPr>
            <w:tcW w:w="276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有色金属冶炼和压延加工业</w:t>
            </w:r>
          </w:p>
        </w:tc>
        <w:tc>
          <w:tcPr>
            <w:tcW w:w="8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5</w:t>
            </w:r>
          </w:p>
        </w:tc>
        <w:tc>
          <w:tcPr>
            <w:tcW w:w="133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1.4</w:t>
            </w:r>
          </w:p>
        </w:tc>
        <w:tc>
          <w:tcPr>
            <w:tcW w:w="13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16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06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6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18</w:t>
            </w:r>
          </w:p>
        </w:tc>
        <w:tc>
          <w:tcPr>
            <w:tcW w:w="276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金属制品业</w:t>
            </w:r>
          </w:p>
        </w:tc>
        <w:tc>
          <w:tcPr>
            <w:tcW w:w="8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12</w:t>
            </w:r>
          </w:p>
        </w:tc>
        <w:tc>
          <w:tcPr>
            <w:tcW w:w="133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3.5</w:t>
            </w:r>
          </w:p>
        </w:tc>
        <w:tc>
          <w:tcPr>
            <w:tcW w:w="13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16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06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6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19</w:t>
            </w:r>
          </w:p>
        </w:tc>
        <w:tc>
          <w:tcPr>
            <w:tcW w:w="276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汽车制造业</w:t>
            </w:r>
          </w:p>
        </w:tc>
        <w:tc>
          <w:tcPr>
            <w:tcW w:w="8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12</w:t>
            </w:r>
          </w:p>
        </w:tc>
        <w:tc>
          <w:tcPr>
            <w:tcW w:w="133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3.5</w:t>
            </w:r>
          </w:p>
        </w:tc>
        <w:tc>
          <w:tcPr>
            <w:tcW w:w="13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16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06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6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20</w:t>
            </w:r>
          </w:p>
        </w:tc>
        <w:tc>
          <w:tcPr>
            <w:tcW w:w="276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铁路、船舶、航空航天和其他运输设备制造业</w:t>
            </w:r>
          </w:p>
        </w:tc>
        <w:tc>
          <w:tcPr>
            <w:tcW w:w="8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 w:eastAsia="zh-CN"/>
                <w14:textFill>
                  <w14:solidFill>
                    <w14:schemeClr w14:val="tx1"/>
                  </w14:solidFill>
                </w14:textFill>
              </w:rPr>
              <w:t>2</w:t>
            </w:r>
          </w:p>
        </w:tc>
        <w:tc>
          <w:tcPr>
            <w:tcW w:w="133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0.6</w:t>
            </w:r>
          </w:p>
        </w:tc>
        <w:tc>
          <w:tcPr>
            <w:tcW w:w="13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16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06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6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21</w:t>
            </w:r>
          </w:p>
        </w:tc>
        <w:tc>
          <w:tcPr>
            <w:tcW w:w="276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计算机、通信和其他电子设备制造业</w:t>
            </w:r>
          </w:p>
        </w:tc>
        <w:tc>
          <w:tcPr>
            <w:tcW w:w="8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w:t>
            </w:r>
          </w:p>
        </w:tc>
        <w:tc>
          <w:tcPr>
            <w:tcW w:w="133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0.3</w:t>
            </w:r>
          </w:p>
        </w:tc>
        <w:tc>
          <w:tcPr>
            <w:tcW w:w="13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16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06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6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22</w:t>
            </w:r>
          </w:p>
        </w:tc>
        <w:tc>
          <w:tcPr>
            <w:tcW w:w="276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废弃资源综合利用业</w:t>
            </w:r>
          </w:p>
        </w:tc>
        <w:tc>
          <w:tcPr>
            <w:tcW w:w="8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w:t>
            </w:r>
          </w:p>
        </w:tc>
        <w:tc>
          <w:tcPr>
            <w:tcW w:w="133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0.3</w:t>
            </w:r>
          </w:p>
        </w:tc>
        <w:tc>
          <w:tcPr>
            <w:tcW w:w="13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16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06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6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23</w:t>
            </w:r>
          </w:p>
        </w:tc>
        <w:tc>
          <w:tcPr>
            <w:tcW w:w="276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金属制品、机械和设备修理业</w:t>
            </w:r>
          </w:p>
        </w:tc>
        <w:tc>
          <w:tcPr>
            <w:tcW w:w="8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w:t>
            </w:r>
          </w:p>
        </w:tc>
        <w:tc>
          <w:tcPr>
            <w:tcW w:w="133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0.3</w:t>
            </w:r>
          </w:p>
        </w:tc>
        <w:tc>
          <w:tcPr>
            <w:tcW w:w="13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16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06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6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24</w:t>
            </w:r>
          </w:p>
        </w:tc>
        <w:tc>
          <w:tcPr>
            <w:tcW w:w="276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电力、热力生产和供应业</w:t>
            </w:r>
          </w:p>
        </w:tc>
        <w:tc>
          <w:tcPr>
            <w:tcW w:w="8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w:t>
            </w:r>
          </w:p>
        </w:tc>
        <w:tc>
          <w:tcPr>
            <w:tcW w:w="133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2.9</w:t>
            </w:r>
          </w:p>
        </w:tc>
        <w:tc>
          <w:tcPr>
            <w:tcW w:w="13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16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06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6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25</w:t>
            </w:r>
          </w:p>
        </w:tc>
        <w:tc>
          <w:tcPr>
            <w:tcW w:w="276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水的生产和供应业</w:t>
            </w:r>
          </w:p>
        </w:tc>
        <w:tc>
          <w:tcPr>
            <w:tcW w:w="8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106</w:t>
            </w:r>
          </w:p>
        </w:tc>
        <w:tc>
          <w:tcPr>
            <w:tcW w:w="133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30.5</w:t>
            </w:r>
          </w:p>
        </w:tc>
        <w:tc>
          <w:tcPr>
            <w:tcW w:w="13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16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06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6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26</w:t>
            </w:r>
          </w:p>
        </w:tc>
        <w:tc>
          <w:tcPr>
            <w:tcW w:w="276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租赁业</w:t>
            </w:r>
          </w:p>
        </w:tc>
        <w:tc>
          <w:tcPr>
            <w:tcW w:w="8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w:t>
            </w:r>
          </w:p>
        </w:tc>
        <w:tc>
          <w:tcPr>
            <w:tcW w:w="133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0.3</w:t>
            </w:r>
          </w:p>
        </w:tc>
        <w:tc>
          <w:tcPr>
            <w:tcW w:w="13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16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06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6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27</w:t>
            </w:r>
          </w:p>
        </w:tc>
        <w:tc>
          <w:tcPr>
            <w:tcW w:w="276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生态保护和环境治理业</w:t>
            </w:r>
          </w:p>
        </w:tc>
        <w:tc>
          <w:tcPr>
            <w:tcW w:w="8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2</w:t>
            </w:r>
          </w:p>
        </w:tc>
        <w:tc>
          <w:tcPr>
            <w:tcW w:w="133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0.6</w:t>
            </w:r>
          </w:p>
        </w:tc>
        <w:tc>
          <w:tcPr>
            <w:tcW w:w="13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16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06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6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28</w:t>
            </w:r>
          </w:p>
        </w:tc>
        <w:tc>
          <w:tcPr>
            <w:tcW w:w="276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公共设施管理业</w:t>
            </w:r>
          </w:p>
        </w:tc>
        <w:tc>
          <w:tcPr>
            <w:tcW w:w="8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12</w:t>
            </w:r>
          </w:p>
        </w:tc>
        <w:tc>
          <w:tcPr>
            <w:tcW w:w="133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3.5</w:t>
            </w:r>
          </w:p>
        </w:tc>
        <w:tc>
          <w:tcPr>
            <w:tcW w:w="13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16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06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6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29</w:t>
            </w:r>
          </w:p>
        </w:tc>
        <w:tc>
          <w:tcPr>
            <w:tcW w:w="276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社会工作</w:t>
            </w:r>
          </w:p>
        </w:tc>
        <w:tc>
          <w:tcPr>
            <w:tcW w:w="8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48</w:t>
            </w:r>
          </w:p>
        </w:tc>
        <w:tc>
          <w:tcPr>
            <w:tcW w:w="133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13.8</w:t>
            </w:r>
          </w:p>
        </w:tc>
        <w:tc>
          <w:tcPr>
            <w:tcW w:w="13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16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106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default" w:ascii="Times New Roman" w:hAnsi="Times New Roman" w:eastAsia="仿宋"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bl>
    <w:p>
      <w:pPr>
        <w:pStyle w:val="3"/>
        <w:bidi w:val="0"/>
        <w:rPr>
          <w:rFonts w:hint="default" w:ascii="Times New Roman" w:hAnsi="Times New Roman" w:eastAsia="黑体" w:cs="Times New Roman"/>
          <w:b w:val="0"/>
          <w:bCs/>
          <w:sz w:val="28"/>
          <w:szCs w:val="28"/>
          <w:lang w:val="en-US" w:eastAsia="zh-CN"/>
        </w:rPr>
      </w:pPr>
      <w:bookmarkStart w:id="20" w:name="_Toc17253"/>
      <w:bookmarkStart w:id="21" w:name="_Toc4391"/>
      <w:bookmarkStart w:id="22" w:name="_Toc26667"/>
      <w:r>
        <w:rPr>
          <w:rFonts w:hint="default" w:ascii="Times New Roman" w:hAnsi="Times New Roman" w:eastAsia="黑体" w:cs="Times New Roman"/>
          <w:b w:val="0"/>
          <w:bCs/>
          <w:sz w:val="28"/>
          <w:szCs w:val="28"/>
          <w:lang w:val="en-US" w:eastAsia="zh-CN"/>
        </w:rPr>
        <w:t>2.1.4废水污染源执法监测五年分析</w:t>
      </w:r>
      <w:bookmarkEnd w:id="20"/>
      <w:bookmarkEnd w:id="21"/>
      <w:bookmarkEnd w:id="22"/>
    </w:p>
    <w:p>
      <w:pPr>
        <w:numPr>
          <w:ilvl w:val="0"/>
          <w:numId w:val="0"/>
        </w:numPr>
        <w:ind w:firstLine="560" w:firstLineChars="200"/>
        <w:rPr>
          <w:rFonts w:hint="default" w:ascii="Times New Roman" w:hAnsi="Times New Roman" w:eastAsia="黑体" w:cs="Times New Roman"/>
          <w:b w:val="0"/>
          <w:bCs w:val="0"/>
          <w:color w:val="auto"/>
          <w:lang w:val="en-US" w:eastAsia="zh-CN"/>
        </w:rPr>
      </w:pPr>
      <w:r>
        <w:rPr>
          <w:rFonts w:hint="default" w:ascii="Times New Roman" w:hAnsi="Times New Roman" w:eastAsia="黑体" w:cs="Times New Roman"/>
          <w:b w:val="0"/>
          <w:bCs w:val="0"/>
          <w:color w:val="auto"/>
          <w:lang w:val="en-US" w:eastAsia="zh-CN"/>
        </w:rPr>
        <w:t>1、废水污染源执法监测企业总数变化情况</w:t>
      </w:r>
    </w:p>
    <w:p>
      <w:pPr>
        <w:numPr>
          <w:ilvl w:val="0"/>
          <w:numId w:val="0"/>
        </w:numPr>
        <w:ind w:firstLine="560" w:firstLineChars="20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2018-2022年吉林省废水污染源执法监测企业总数变化情况，详见表2-4。</w:t>
      </w:r>
    </w:p>
    <w:p>
      <w:pPr>
        <w:keepNext w:val="0"/>
        <w:keepLines w:val="0"/>
        <w:pageBreakBefore w:val="0"/>
        <w:widowControl w:val="0"/>
        <w:kinsoku/>
        <w:wordWrap/>
        <w:overflowPunct/>
        <w:topLinePunct w:val="0"/>
        <w:autoSpaceDE/>
        <w:autoSpaceDN/>
        <w:bidi w:val="0"/>
        <w:adjustRightInd/>
        <w:snapToGrid/>
        <w:spacing w:before="157" w:beforeLines="50"/>
        <w:ind w:firstLine="480" w:firstLineChars="200"/>
        <w:jc w:val="center"/>
        <w:textAlignment w:val="auto"/>
        <w:rPr>
          <w:rFonts w:hint="default" w:ascii="Times New Roman" w:hAnsi="Times New Roman" w:eastAsia="黑体" w:cs="Times New Roman"/>
          <w:b w:val="0"/>
          <w:bCs w:val="0"/>
          <w:color w:val="auto"/>
          <w:sz w:val="24"/>
          <w:szCs w:val="24"/>
          <w:lang w:val="en-US" w:eastAsia="zh-CN"/>
        </w:rPr>
      </w:pPr>
      <w:r>
        <w:rPr>
          <w:rFonts w:hint="default" w:ascii="Times New Roman" w:hAnsi="Times New Roman" w:eastAsia="黑体" w:cs="Times New Roman"/>
          <w:b w:val="0"/>
          <w:bCs w:val="0"/>
          <w:color w:val="auto"/>
          <w:sz w:val="24"/>
          <w:szCs w:val="24"/>
          <w:lang w:val="en-US" w:eastAsia="zh-CN"/>
        </w:rPr>
        <w:t>表2-4  2018-2022年监测企业总数变化情况</w:t>
      </w:r>
    </w:p>
    <w:tbl>
      <w:tblPr>
        <w:tblStyle w:val="10"/>
        <w:tblW w:w="9074" w:type="dxa"/>
        <w:jc w:val="center"/>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Layout w:type="fixed"/>
        <w:tblCellMar>
          <w:top w:w="0" w:type="dxa"/>
          <w:left w:w="108" w:type="dxa"/>
          <w:bottom w:w="0" w:type="dxa"/>
          <w:right w:w="108" w:type="dxa"/>
        </w:tblCellMar>
      </w:tblPr>
      <w:tblGrid>
        <w:gridCol w:w="1403"/>
        <w:gridCol w:w="1534"/>
        <w:gridCol w:w="1534"/>
        <w:gridCol w:w="1534"/>
        <w:gridCol w:w="1534"/>
        <w:gridCol w:w="1535"/>
      </w:tblGrid>
      <w:tr>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rPr>
          <w:trHeight w:val="681" w:hRule="atLeast"/>
          <w:jc w:val="center"/>
        </w:trPr>
        <w:tc>
          <w:tcPr>
            <w:tcW w:w="1403" w:type="dxa"/>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仿宋" w:cs="Times New Roman"/>
                <w:b/>
                <w:color w:val="auto"/>
                <w:sz w:val="24"/>
                <w:szCs w:val="24"/>
                <w:lang w:val="en-US" w:eastAsia="zh-CN"/>
              </w:rPr>
            </w:pPr>
            <w:r>
              <w:rPr>
                <w:rFonts w:hint="default" w:ascii="Times New Roman" w:hAnsi="Times New Roman" w:eastAsia="仿宋" w:cs="Times New Roman"/>
                <w:b/>
                <w:color w:val="auto"/>
                <w:sz w:val="24"/>
                <w:szCs w:val="24"/>
                <w:lang w:val="en-US" w:eastAsia="zh-CN"/>
              </w:rPr>
              <w:t>年度</w:t>
            </w:r>
          </w:p>
        </w:tc>
        <w:tc>
          <w:tcPr>
            <w:tcW w:w="1534" w:type="dxa"/>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仿宋" w:cs="Times New Roman"/>
                <w:b/>
                <w:color w:val="auto"/>
                <w:sz w:val="24"/>
                <w:szCs w:val="24"/>
                <w:lang w:val="en-US" w:eastAsia="zh-CN"/>
              </w:rPr>
            </w:pPr>
            <w:r>
              <w:rPr>
                <w:rFonts w:hint="default" w:ascii="Times New Roman" w:hAnsi="Times New Roman" w:eastAsia="仿宋" w:cs="Times New Roman"/>
                <w:b/>
                <w:color w:val="auto"/>
                <w:sz w:val="24"/>
                <w:szCs w:val="24"/>
                <w:lang w:val="en-US" w:eastAsia="zh-CN"/>
              </w:rPr>
              <w:t>2018年</w:t>
            </w:r>
          </w:p>
        </w:tc>
        <w:tc>
          <w:tcPr>
            <w:tcW w:w="1534" w:type="dxa"/>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仿宋" w:cs="Times New Roman"/>
                <w:b/>
                <w:color w:val="auto"/>
                <w:sz w:val="24"/>
                <w:szCs w:val="24"/>
                <w:lang w:val="en-US" w:eastAsia="zh-CN"/>
              </w:rPr>
            </w:pPr>
            <w:r>
              <w:rPr>
                <w:rFonts w:hint="default" w:ascii="Times New Roman" w:hAnsi="Times New Roman" w:eastAsia="仿宋" w:cs="Times New Roman"/>
                <w:b/>
                <w:color w:val="auto"/>
                <w:sz w:val="24"/>
                <w:szCs w:val="24"/>
                <w:lang w:val="en-US" w:eastAsia="zh-CN"/>
              </w:rPr>
              <w:t>2019年</w:t>
            </w:r>
          </w:p>
        </w:tc>
        <w:tc>
          <w:tcPr>
            <w:tcW w:w="1534" w:type="dxa"/>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仿宋" w:cs="Times New Roman"/>
                <w:b/>
                <w:color w:val="auto"/>
                <w:sz w:val="24"/>
                <w:szCs w:val="24"/>
                <w:lang w:val="en-US" w:eastAsia="zh-CN"/>
              </w:rPr>
            </w:pPr>
            <w:r>
              <w:rPr>
                <w:rFonts w:hint="default" w:ascii="Times New Roman" w:hAnsi="Times New Roman" w:eastAsia="仿宋" w:cs="Times New Roman"/>
                <w:b/>
                <w:color w:val="auto"/>
                <w:sz w:val="24"/>
                <w:szCs w:val="24"/>
                <w:lang w:val="en-US" w:eastAsia="zh-CN"/>
              </w:rPr>
              <w:t>2020年</w:t>
            </w:r>
          </w:p>
        </w:tc>
        <w:tc>
          <w:tcPr>
            <w:tcW w:w="1534" w:type="dxa"/>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仿宋" w:cs="Times New Roman"/>
                <w:b/>
                <w:color w:val="auto"/>
                <w:sz w:val="24"/>
                <w:szCs w:val="24"/>
                <w:lang w:val="en-US" w:eastAsia="zh-CN"/>
              </w:rPr>
            </w:pPr>
            <w:r>
              <w:rPr>
                <w:rFonts w:hint="default" w:ascii="Times New Roman" w:hAnsi="Times New Roman" w:eastAsia="仿宋" w:cs="Times New Roman"/>
                <w:b/>
                <w:color w:val="auto"/>
                <w:sz w:val="24"/>
                <w:szCs w:val="24"/>
                <w:lang w:val="en-US" w:eastAsia="zh-CN"/>
              </w:rPr>
              <w:t>2021年</w:t>
            </w:r>
          </w:p>
        </w:tc>
        <w:tc>
          <w:tcPr>
            <w:tcW w:w="1535" w:type="dxa"/>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仿宋" w:cs="Times New Roman"/>
                <w:b/>
                <w:color w:val="auto"/>
                <w:sz w:val="24"/>
                <w:szCs w:val="24"/>
                <w:lang w:val="en-US" w:eastAsia="zh-CN"/>
              </w:rPr>
            </w:pPr>
            <w:r>
              <w:rPr>
                <w:rFonts w:hint="default" w:ascii="Times New Roman" w:hAnsi="Times New Roman" w:eastAsia="仿宋" w:cs="Times New Roman"/>
                <w:b/>
                <w:color w:val="auto"/>
                <w:sz w:val="24"/>
                <w:szCs w:val="24"/>
                <w:lang w:val="en-US" w:eastAsia="zh-CN"/>
              </w:rPr>
              <w:t>2022年</w:t>
            </w:r>
          </w:p>
        </w:tc>
      </w:tr>
      <w:tr>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rPr>
          <w:trHeight w:val="329" w:hRule="atLeast"/>
          <w:jc w:val="center"/>
        </w:trPr>
        <w:tc>
          <w:tcPr>
            <w:tcW w:w="1403" w:type="dxa"/>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b w:val="0"/>
                <w:bCs/>
                <w:color w:val="auto"/>
                <w:sz w:val="24"/>
                <w:szCs w:val="24"/>
                <w:lang w:val="en-US" w:eastAsia="zh-CN"/>
              </w:rPr>
              <w:t>监测企业（家）次</w:t>
            </w:r>
          </w:p>
        </w:tc>
        <w:tc>
          <w:tcPr>
            <w:tcW w:w="1534" w:type="dxa"/>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223</w:t>
            </w:r>
          </w:p>
        </w:tc>
        <w:tc>
          <w:tcPr>
            <w:tcW w:w="1534" w:type="dxa"/>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235</w:t>
            </w:r>
          </w:p>
        </w:tc>
        <w:tc>
          <w:tcPr>
            <w:tcW w:w="1534" w:type="dxa"/>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211</w:t>
            </w:r>
          </w:p>
        </w:tc>
        <w:tc>
          <w:tcPr>
            <w:tcW w:w="1534" w:type="dxa"/>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238</w:t>
            </w:r>
          </w:p>
        </w:tc>
        <w:tc>
          <w:tcPr>
            <w:tcW w:w="1535" w:type="dxa"/>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347</w:t>
            </w:r>
          </w:p>
        </w:tc>
      </w:tr>
    </w:tbl>
    <w:p>
      <w:pPr>
        <w:numPr>
          <w:ilvl w:val="0"/>
          <w:numId w:val="0"/>
        </w:numPr>
        <w:ind w:firstLine="560" w:firstLineChars="200"/>
        <w:rPr>
          <w:rFonts w:hint="default" w:ascii="Times New Roman" w:hAnsi="Times New Roman" w:eastAsia="黑体" w:cs="Times New Roman"/>
          <w:b w:val="0"/>
          <w:bCs w:val="0"/>
          <w:color w:val="auto"/>
          <w:lang w:val="en-US" w:eastAsia="zh-CN"/>
        </w:rPr>
      </w:pPr>
      <w:r>
        <w:rPr>
          <w:rFonts w:hint="default" w:ascii="Times New Roman" w:hAnsi="Times New Roman" w:eastAsia="黑体" w:cs="Times New Roman"/>
          <w:b w:val="0"/>
          <w:bCs w:val="0"/>
          <w:color w:val="auto"/>
          <w:lang w:val="en-US" w:eastAsia="zh-CN"/>
        </w:rPr>
        <w:t>2、废水污染源执法监测企业达标情况</w:t>
      </w:r>
    </w:p>
    <w:p>
      <w:pPr>
        <w:keepNext w:val="0"/>
        <w:keepLines w:val="0"/>
        <w:pageBreakBefore w:val="0"/>
        <w:widowControl w:val="0"/>
        <w:kinsoku/>
        <w:wordWrap/>
        <w:overflowPunct/>
        <w:topLinePunct w:val="0"/>
        <w:autoSpaceDE/>
        <w:autoSpaceDN/>
        <w:bidi w:val="0"/>
        <w:adjustRightInd/>
        <w:snapToGrid/>
        <w:spacing w:before="157" w:beforeLines="50"/>
        <w:ind w:firstLine="56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2018—2022年吉林省废水污染源执法监测监测企业超标企业数和达标率变化情况，详见表2-5。</w:t>
      </w:r>
    </w:p>
    <w:p>
      <w:pPr>
        <w:keepNext w:val="0"/>
        <w:keepLines w:val="0"/>
        <w:pageBreakBefore w:val="0"/>
        <w:widowControl w:val="0"/>
        <w:kinsoku/>
        <w:wordWrap/>
        <w:overflowPunct/>
        <w:topLinePunct w:val="0"/>
        <w:autoSpaceDE/>
        <w:autoSpaceDN/>
        <w:bidi w:val="0"/>
        <w:adjustRightInd/>
        <w:snapToGrid/>
        <w:spacing w:before="157" w:beforeLines="50"/>
        <w:ind w:firstLine="480" w:firstLineChars="200"/>
        <w:jc w:val="center"/>
        <w:textAlignment w:val="auto"/>
        <w:rPr>
          <w:rFonts w:hint="default" w:ascii="Times New Roman" w:hAnsi="Times New Roman" w:eastAsia="黑体" w:cs="Times New Roman"/>
          <w:b w:val="0"/>
          <w:bCs w:val="0"/>
          <w:color w:val="auto"/>
          <w:sz w:val="24"/>
          <w:szCs w:val="24"/>
          <w:lang w:val="en-US" w:eastAsia="zh-CN"/>
        </w:rPr>
      </w:pPr>
      <w:r>
        <w:rPr>
          <w:rFonts w:hint="default" w:ascii="Times New Roman" w:hAnsi="Times New Roman" w:eastAsia="黑体" w:cs="Times New Roman"/>
          <w:b w:val="0"/>
          <w:bCs w:val="0"/>
          <w:color w:val="auto"/>
          <w:sz w:val="24"/>
          <w:szCs w:val="24"/>
          <w:lang w:val="en-US" w:eastAsia="zh-CN"/>
        </w:rPr>
        <w:t>表2-5  2018-2022年监测企业超标情况和达标率情况</w:t>
      </w:r>
    </w:p>
    <w:tbl>
      <w:tblPr>
        <w:tblStyle w:val="10"/>
        <w:tblW w:w="8979"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08"/>
        <w:gridCol w:w="1534"/>
        <w:gridCol w:w="1534"/>
        <w:gridCol w:w="1534"/>
        <w:gridCol w:w="1534"/>
        <w:gridCol w:w="1535"/>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1" w:hRule="atLeast"/>
        </w:trPr>
        <w:tc>
          <w:tcPr>
            <w:tcW w:w="1308" w:type="dxa"/>
            <w:tcBorders>
              <w:bottom w:val="single" w:color="auto" w:sz="12" w:space="0"/>
            </w:tcBorders>
            <w:noWrap w:val="0"/>
            <w:vAlign w:val="center"/>
          </w:tcPr>
          <w:p>
            <w:pPr>
              <w:spacing w:line="320" w:lineRule="exact"/>
              <w:ind w:left="0" w:leftChars="0" w:firstLine="0" w:firstLineChars="0"/>
              <w:jc w:val="center"/>
              <w:rPr>
                <w:rFonts w:hint="default" w:ascii="Times New Roman" w:hAnsi="Times New Roman" w:eastAsia="CESI仿宋-GB2312" w:cs="Times New Roman"/>
                <w:b/>
                <w:color w:val="auto"/>
                <w:sz w:val="24"/>
                <w:szCs w:val="24"/>
                <w:lang w:val="en-US" w:eastAsia="zh-CN"/>
              </w:rPr>
            </w:pPr>
            <w:r>
              <w:rPr>
                <w:rFonts w:hint="default" w:ascii="Times New Roman" w:hAnsi="Times New Roman" w:eastAsia="CESI仿宋-GB2312" w:cs="Times New Roman"/>
                <w:b/>
                <w:color w:val="auto"/>
                <w:sz w:val="24"/>
                <w:szCs w:val="24"/>
                <w:lang w:val="en-US" w:eastAsia="zh-CN"/>
              </w:rPr>
              <w:t>年度</w:t>
            </w:r>
          </w:p>
        </w:tc>
        <w:tc>
          <w:tcPr>
            <w:tcW w:w="1534" w:type="dxa"/>
            <w:tcBorders>
              <w:bottom w:val="single" w:color="auto" w:sz="12" w:space="0"/>
            </w:tcBorders>
            <w:noWrap w:val="0"/>
            <w:vAlign w:val="center"/>
          </w:tcPr>
          <w:p>
            <w:pPr>
              <w:spacing w:line="320" w:lineRule="exact"/>
              <w:ind w:left="0" w:leftChars="0" w:firstLine="0" w:firstLineChars="0"/>
              <w:jc w:val="center"/>
              <w:rPr>
                <w:rFonts w:hint="default" w:ascii="Times New Roman" w:hAnsi="Times New Roman" w:eastAsia="CESI仿宋-GB2312" w:cs="Times New Roman"/>
                <w:b/>
                <w:color w:val="auto"/>
                <w:sz w:val="24"/>
                <w:szCs w:val="24"/>
                <w:lang w:val="en-US" w:eastAsia="zh-CN"/>
              </w:rPr>
            </w:pPr>
            <w:r>
              <w:rPr>
                <w:rFonts w:hint="default" w:ascii="Times New Roman" w:hAnsi="Times New Roman" w:eastAsia="CESI仿宋-GB2312" w:cs="Times New Roman"/>
                <w:b/>
                <w:color w:val="auto"/>
                <w:sz w:val="24"/>
                <w:szCs w:val="24"/>
                <w:lang w:val="en-US" w:eastAsia="zh-CN"/>
              </w:rPr>
              <w:t>2018年</w:t>
            </w:r>
          </w:p>
        </w:tc>
        <w:tc>
          <w:tcPr>
            <w:tcW w:w="1534" w:type="dxa"/>
            <w:tcBorders>
              <w:bottom w:val="single" w:color="auto" w:sz="12" w:space="0"/>
            </w:tcBorders>
            <w:noWrap w:val="0"/>
            <w:vAlign w:val="center"/>
          </w:tcPr>
          <w:p>
            <w:pPr>
              <w:spacing w:line="320" w:lineRule="exact"/>
              <w:ind w:left="0" w:leftChars="0" w:firstLine="0" w:firstLineChars="0"/>
              <w:jc w:val="center"/>
              <w:rPr>
                <w:rFonts w:hint="default" w:ascii="Times New Roman" w:hAnsi="Times New Roman" w:eastAsia="CESI仿宋-GB2312" w:cs="Times New Roman"/>
                <w:b/>
                <w:color w:val="auto"/>
                <w:sz w:val="24"/>
                <w:szCs w:val="24"/>
                <w:lang w:val="en-US" w:eastAsia="zh-CN"/>
              </w:rPr>
            </w:pPr>
            <w:r>
              <w:rPr>
                <w:rFonts w:hint="default" w:ascii="Times New Roman" w:hAnsi="Times New Roman" w:eastAsia="CESI仿宋-GB2312" w:cs="Times New Roman"/>
                <w:b/>
                <w:color w:val="auto"/>
                <w:sz w:val="24"/>
                <w:szCs w:val="24"/>
                <w:lang w:val="en-US" w:eastAsia="zh-CN"/>
              </w:rPr>
              <w:t>2019年</w:t>
            </w:r>
          </w:p>
        </w:tc>
        <w:tc>
          <w:tcPr>
            <w:tcW w:w="1534" w:type="dxa"/>
            <w:tcBorders>
              <w:bottom w:val="single" w:color="auto" w:sz="12" w:space="0"/>
            </w:tcBorders>
            <w:noWrap w:val="0"/>
            <w:vAlign w:val="center"/>
          </w:tcPr>
          <w:p>
            <w:pPr>
              <w:spacing w:line="320" w:lineRule="exact"/>
              <w:ind w:left="0" w:leftChars="0" w:firstLine="0" w:firstLineChars="0"/>
              <w:jc w:val="center"/>
              <w:rPr>
                <w:rFonts w:hint="default" w:ascii="Times New Roman" w:hAnsi="Times New Roman" w:eastAsia="CESI仿宋-GB2312" w:cs="Times New Roman"/>
                <w:b/>
                <w:color w:val="auto"/>
                <w:sz w:val="24"/>
                <w:szCs w:val="24"/>
                <w:lang w:val="en-US" w:eastAsia="zh-CN"/>
              </w:rPr>
            </w:pPr>
            <w:r>
              <w:rPr>
                <w:rFonts w:hint="default" w:ascii="Times New Roman" w:hAnsi="Times New Roman" w:eastAsia="CESI仿宋-GB2312" w:cs="Times New Roman"/>
                <w:b/>
                <w:color w:val="auto"/>
                <w:sz w:val="24"/>
                <w:szCs w:val="24"/>
                <w:lang w:val="en-US" w:eastAsia="zh-CN"/>
              </w:rPr>
              <w:t>2020年</w:t>
            </w:r>
          </w:p>
        </w:tc>
        <w:tc>
          <w:tcPr>
            <w:tcW w:w="1534" w:type="dxa"/>
            <w:tcBorders>
              <w:bottom w:val="single" w:color="auto" w:sz="12" w:space="0"/>
            </w:tcBorders>
            <w:noWrap w:val="0"/>
            <w:vAlign w:val="center"/>
          </w:tcPr>
          <w:p>
            <w:pPr>
              <w:spacing w:line="320" w:lineRule="exact"/>
              <w:ind w:left="0" w:leftChars="0" w:firstLine="0" w:firstLineChars="0"/>
              <w:jc w:val="center"/>
              <w:rPr>
                <w:rFonts w:hint="default" w:ascii="Times New Roman" w:hAnsi="Times New Roman" w:eastAsia="CESI仿宋-GB2312" w:cs="Times New Roman"/>
                <w:b/>
                <w:color w:val="auto"/>
                <w:sz w:val="24"/>
                <w:szCs w:val="24"/>
                <w:lang w:val="en-US" w:eastAsia="zh-CN"/>
              </w:rPr>
            </w:pPr>
            <w:r>
              <w:rPr>
                <w:rFonts w:hint="default" w:ascii="Times New Roman" w:hAnsi="Times New Roman" w:eastAsia="CESI仿宋-GB2312" w:cs="Times New Roman"/>
                <w:b/>
                <w:color w:val="auto"/>
                <w:sz w:val="24"/>
                <w:szCs w:val="24"/>
                <w:lang w:val="en-US" w:eastAsia="zh-CN"/>
              </w:rPr>
              <w:t>2021年</w:t>
            </w:r>
          </w:p>
        </w:tc>
        <w:tc>
          <w:tcPr>
            <w:tcW w:w="1535" w:type="dxa"/>
            <w:tcBorders>
              <w:bottom w:val="single" w:color="auto" w:sz="12" w:space="0"/>
            </w:tcBorders>
            <w:noWrap w:val="0"/>
            <w:vAlign w:val="center"/>
          </w:tcPr>
          <w:p>
            <w:pPr>
              <w:spacing w:line="320" w:lineRule="exact"/>
              <w:ind w:left="0" w:leftChars="0" w:firstLine="0" w:firstLineChars="0"/>
              <w:jc w:val="center"/>
              <w:rPr>
                <w:rFonts w:hint="default" w:ascii="Times New Roman" w:hAnsi="Times New Roman" w:eastAsia="CESI仿宋-GB2312" w:cs="Times New Roman"/>
                <w:b/>
                <w:color w:val="auto"/>
                <w:sz w:val="24"/>
                <w:szCs w:val="24"/>
                <w:lang w:val="en-US" w:eastAsia="zh-CN"/>
              </w:rPr>
            </w:pPr>
            <w:r>
              <w:rPr>
                <w:rFonts w:hint="default" w:ascii="Times New Roman" w:hAnsi="Times New Roman" w:eastAsia="CESI仿宋-GB2312" w:cs="Times New Roman"/>
                <w:b/>
                <w:color w:val="auto"/>
                <w:sz w:val="24"/>
                <w:szCs w:val="24"/>
                <w:lang w:val="en-US" w:eastAsia="zh-CN"/>
              </w:rPr>
              <w:t>2022年</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308" w:type="dxa"/>
            <w:tcBorders>
              <w:top w:val="single" w:color="auto" w:sz="12" w:space="0"/>
              <w:tl2br w:val="nil"/>
              <w:tr2bl w:val="nil"/>
            </w:tcBorders>
            <w:noWrap w:val="0"/>
            <w:vAlign w:val="center"/>
          </w:tcPr>
          <w:p>
            <w:pPr>
              <w:spacing w:line="320" w:lineRule="exact"/>
              <w:ind w:left="0" w:leftChars="0" w:firstLine="0" w:firstLineChars="0"/>
              <w:jc w:val="center"/>
              <w:rPr>
                <w:rFonts w:hint="default" w:ascii="Times New Roman" w:hAnsi="Times New Roman" w:eastAsia="CESI仿宋-GB2312" w:cs="Times New Roman"/>
                <w:color w:val="auto"/>
                <w:sz w:val="24"/>
                <w:szCs w:val="24"/>
                <w:lang w:val="en-US" w:eastAsia="zh-CN"/>
              </w:rPr>
            </w:pPr>
            <w:r>
              <w:rPr>
                <w:rFonts w:hint="default" w:ascii="Times New Roman" w:hAnsi="Times New Roman" w:eastAsia="CESI仿宋-GB2312" w:cs="Times New Roman"/>
                <w:b w:val="0"/>
                <w:bCs/>
                <w:color w:val="auto"/>
                <w:sz w:val="24"/>
                <w:szCs w:val="24"/>
                <w:lang w:val="en-US" w:eastAsia="zh-CN"/>
              </w:rPr>
              <w:t>超标企业（家）次</w:t>
            </w:r>
          </w:p>
        </w:tc>
        <w:tc>
          <w:tcPr>
            <w:tcW w:w="1534" w:type="dxa"/>
            <w:tcBorders>
              <w:top w:val="single" w:color="auto" w:sz="12" w:space="0"/>
              <w:tl2br w:val="nil"/>
              <w:tr2bl w:val="nil"/>
            </w:tcBorders>
            <w:noWrap w:val="0"/>
            <w:vAlign w:val="center"/>
          </w:tcPr>
          <w:p>
            <w:pPr>
              <w:spacing w:line="320" w:lineRule="exact"/>
              <w:ind w:left="0" w:leftChars="0" w:firstLine="0" w:firstLineChars="0"/>
              <w:jc w:val="center"/>
              <w:rPr>
                <w:rFonts w:hint="default" w:ascii="Times New Roman" w:hAnsi="Times New Roman" w:eastAsia="CESI仿宋-GB2312" w:cs="Times New Roman"/>
                <w:color w:val="auto"/>
                <w:sz w:val="24"/>
                <w:szCs w:val="24"/>
                <w:lang w:val="en-US" w:eastAsia="zh-CN"/>
              </w:rPr>
            </w:pPr>
            <w:r>
              <w:rPr>
                <w:rFonts w:hint="default" w:ascii="Times New Roman" w:hAnsi="Times New Roman" w:eastAsia="CESI仿宋-GB2312" w:cs="Times New Roman"/>
                <w:color w:val="auto"/>
                <w:sz w:val="24"/>
                <w:szCs w:val="24"/>
                <w:lang w:val="en-US" w:eastAsia="zh-CN"/>
              </w:rPr>
              <w:t>26</w:t>
            </w:r>
          </w:p>
        </w:tc>
        <w:tc>
          <w:tcPr>
            <w:tcW w:w="1534" w:type="dxa"/>
            <w:tcBorders>
              <w:top w:val="single" w:color="auto" w:sz="12" w:space="0"/>
              <w:tl2br w:val="nil"/>
              <w:tr2bl w:val="nil"/>
            </w:tcBorders>
            <w:noWrap w:val="0"/>
            <w:vAlign w:val="center"/>
          </w:tcPr>
          <w:p>
            <w:pPr>
              <w:spacing w:line="320" w:lineRule="exact"/>
              <w:ind w:left="0" w:leftChars="0" w:firstLine="0" w:firstLineChars="0"/>
              <w:jc w:val="center"/>
              <w:rPr>
                <w:rFonts w:hint="default" w:ascii="Times New Roman" w:hAnsi="Times New Roman" w:eastAsia="CESI仿宋-GB2312" w:cs="Times New Roman"/>
                <w:color w:val="auto"/>
                <w:sz w:val="24"/>
                <w:szCs w:val="24"/>
                <w:lang w:val="en-US" w:eastAsia="zh-CN"/>
              </w:rPr>
            </w:pPr>
            <w:r>
              <w:rPr>
                <w:rFonts w:hint="default" w:ascii="Times New Roman" w:hAnsi="Times New Roman" w:eastAsia="CESI仿宋-GB2312" w:cs="Times New Roman"/>
                <w:color w:val="auto"/>
                <w:sz w:val="24"/>
                <w:szCs w:val="24"/>
                <w:lang w:val="en-US" w:eastAsia="zh-CN"/>
              </w:rPr>
              <w:t>21</w:t>
            </w:r>
          </w:p>
        </w:tc>
        <w:tc>
          <w:tcPr>
            <w:tcW w:w="1534" w:type="dxa"/>
            <w:tcBorders>
              <w:top w:val="single" w:color="auto" w:sz="12" w:space="0"/>
              <w:tl2br w:val="nil"/>
              <w:tr2bl w:val="nil"/>
            </w:tcBorders>
            <w:noWrap w:val="0"/>
            <w:vAlign w:val="center"/>
          </w:tcPr>
          <w:p>
            <w:pPr>
              <w:spacing w:line="320" w:lineRule="exact"/>
              <w:ind w:left="0" w:leftChars="0" w:firstLine="0" w:firstLineChars="0"/>
              <w:jc w:val="center"/>
              <w:rPr>
                <w:rFonts w:hint="default" w:ascii="Times New Roman" w:hAnsi="Times New Roman" w:eastAsia="CESI仿宋-GB2312" w:cs="Times New Roman"/>
                <w:color w:val="auto"/>
                <w:sz w:val="24"/>
                <w:szCs w:val="24"/>
                <w:lang w:val="en-US" w:eastAsia="zh-CN"/>
              </w:rPr>
            </w:pPr>
            <w:r>
              <w:rPr>
                <w:rFonts w:hint="default" w:ascii="Times New Roman" w:hAnsi="Times New Roman" w:eastAsia="CESI仿宋-GB2312" w:cs="Times New Roman"/>
                <w:color w:val="auto"/>
                <w:sz w:val="24"/>
                <w:szCs w:val="24"/>
                <w:lang w:val="en-US" w:eastAsia="zh-CN"/>
              </w:rPr>
              <w:t>9</w:t>
            </w:r>
          </w:p>
        </w:tc>
        <w:tc>
          <w:tcPr>
            <w:tcW w:w="1534" w:type="dxa"/>
            <w:tcBorders>
              <w:top w:val="single" w:color="auto" w:sz="12" w:space="0"/>
              <w:tl2br w:val="nil"/>
              <w:tr2bl w:val="nil"/>
            </w:tcBorders>
            <w:noWrap w:val="0"/>
            <w:vAlign w:val="center"/>
          </w:tcPr>
          <w:p>
            <w:pPr>
              <w:spacing w:line="320" w:lineRule="exact"/>
              <w:ind w:left="0" w:leftChars="0" w:firstLine="0" w:firstLineChars="0"/>
              <w:jc w:val="center"/>
              <w:rPr>
                <w:rFonts w:hint="default" w:ascii="Times New Roman" w:hAnsi="Times New Roman" w:eastAsia="CESI仿宋-GB2312" w:cs="Times New Roman"/>
                <w:color w:val="auto"/>
                <w:sz w:val="24"/>
                <w:szCs w:val="24"/>
                <w:lang w:val="en-US" w:eastAsia="zh-CN"/>
              </w:rPr>
            </w:pPr>
            <w:r>
              <w:rPr>
                <w:rFonts w:hint="default" w:ascii="Times New Roman" w:hAnsi="Times New Roman" w:eastAsia="CESI仿宋-GB2312" w:cs="Times New Roman"/>
                <w:color w:val="auto"/>
                <w:sz w:val="24"/>
                <w:szCs w:val="24"/>
                <w:lang w:val="en-US" w:eastAsia="zh-CN"/>
              </w:rPr>
              <w:t>11</w:t>
            </w:r>
          </w:p>
        </w:tc>
        <w:tc>
          <w:tcPr>
            <w:tcW w:w="1535" w:type="dxa"/>
            <w:tcBorders>
              <w:top w:val="single" w:color="auto" w:sz="12" w:space="0"/>
              <w:tl2br w:val="nil"/>
              <w:tr2bl w:val="nil"/>
            </w:tcBorders>
            <w:noWrap w:val="0"/>
            <w:vAlign w:val="center"/>
          </w:tcPr>
          <w:p>
            <w:pPr>
              <w:spacing w:line="320" w:lineRule="exact"/>
              <w:ind w:left="0" w:leftChars="0" w:firstLine="0" w:firstLineChars="0"/>
              <w:jc w:val="center"/>
              <w:rPr>
                <w:rFonts w:hint="default" w:ascii="Times New Roman" w:hAnsi="Times New Roman" w:eastAsia="CESI仿宋-GB2312" w:cs="Times New Roman"/>
                <w:color w:val="auto"/>
                <w:sz w:val="24"/>
                <w:szCs w:val="24"/>
                <w:lang w:val="en-US" w:eastAsia="zh-CN"/>
              </w:rPr>
            </w:pPr>
            <w:r>
              <w:rPr>
                <w:rFonts w:hint="default" w:ascii="Times New Roman" w:hAnsi="Times New Roman" w:eastAsia="CESI仿宋-GB2312" w:cs="Times New Roman"/>
                <w:color w:val="auto"/>
                <w:sz w:val="24"/>
                <w:szCs w:val="24"/>
                <w:lang w:val="en-US" w:eastAsia="zh-CN"/>
              </w:rPr>
              <w:t>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308" w:type="dxa"/>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CESI仿宋-GB2312" w:cs="Times New Roman"/>
                <w:b w:val="0"/>
                <w:bCs/>
                <w:color w:val="auto"/>
                <w:sz w:val="24"/>
                <w:szCs w:val="24"/>
                <w:lang w:val="en-US" w:eastAsia="zh-CN"/>
              </w:rPr>
            </w:pPr>
            <w:r>
              <w:rPr>
                <w:rFonts w:hint="default" w:ascii="Times New Roman" w:hAnsi="Times New Roman" w:eastAsia="CESI仿宋-GB2312" w:cs="Times New Roman"/>
                <w:b w:val="0"/>
                <w:bCs/>
                <w:color w:val="auto"/>
                <w:sz w:val="24"/>
                <w:szCs w:val="24"/>
                <w:lang w:val="en-US" w:eastAsia="zh-CN"/>
              </w:rPr>
              <w:t>达标率</w:t>
            </w:r>
          </w:p>
        </w:tc>
        <w:tc>
          <w:tcPr>
            <w:tcW w:w="1534" w:type="dxa"/>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CESI仿宋-GB2312" w:cs="Times New Roman"/>
                <w:color w:val="auto"/>
                <w:sz w:val="24"/>
                <w:szCs w:val="24"/>
                <w:lang w:val="en-US" w:eastAsia="zh-CN"/>
              </w:rPr>
            </w:pPr>
            <w:r>
              <w:rPr>
                <w:rFonts w:hint="default" w:ascii="Times New Roman" w:hAnsi="Times New Roman" w:eastAsia="CESI仿宋-GB2312" w:cs="Times New Roman"/>
                <w:color w:val="auto"/>
                <w:sz w:val="24"/>
                <w:szCs w:val="24"/>
                <w:lang w:val="en-US" w:eastAsia="zh-CN"/>
              </w:rPr>
              <w:t>88.3%</w:t>
            </w:r>
          </w:p>
        </w:tc>
        <w:tc>
          <w:tcPr>
            <w:tcW w:w="1534" w:type="dxa"/>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CESI仿宋-GB2312" w:cs="Times New Roman"/>
                <w:color w:val="auto"/>
                <w:sz w:val="24"/>
                <w:szCs w:val="24"/>
                <w:lang w:val="en-US" w:eastAsia="zh-CN"/>
              </w:rPr>
            </w:pPr>
            <w:r>
              <w:rPr>
                <w:rFonts w:hint="default" w:ascii="Times New Roman" w:hAnsi="Times New Roman" w:eastAsia="CESI仿宋-GB2312" w:cs="Times New Roman"/>
                <w:color w:val="auto"/>
                <w:sz w:val="24"/>
                <w:szCs w:val="24"/>
                <w:lang w:val="en-US" w:eastAsia="zh-CN"/>
              </w:rPr>
              <w:t>91.1%</w:t>
            </w:r>
          </w:p>
        </w:tc>
        <w:tc>
          <w:tcPr>
            <w:tcW w:w="1534" w:type="dxa"/>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CESI仿宋-GB2312" w:cs="Times New Roman"/>
                <w:color w:val="auto"/>
                <w:sz w:val="24"/>
                <w:szCs w:val="24"/>
                <w:lang w:val="en-US" w:eastAsia="zh-CN"/>
              </w:rPr>
            </w:pPr>
            <w:r>
              <w:rPr>
                <w:rFonts w:hint="default" w:ascii="Times New Roman" w:hAnsi="Times New Roman" w:eastAsia="CESI仿宋-GB2312" w:cs="Times New Roman"/>
                <w:color w:val="auto"/>
                <w:sz w:val="24"/>
                <w:szCs w:val="24"/>
                <w:lang w:val="en-US" w:eastAsia="zh-CN"/>
              </w:rPr>
              <w:t>95.7%</w:t>
            </w:r>
          </w:p>
        </w:tc>
        <w:tc>
          <w:tcPr>
            <w:tcW w:w="1534" w:type="dxa"/>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CESI仿宋-GB2312" w:cs="Times New Roman"/>
                <w:color w:val="auto"/>
                <w:sz w:val="24"/>
                <w:szCs w:val="24"/>
                <w:lang w:val="en-US" w:eastAsia="zh-CN"/>
              </w:rPr>
            </w:pPr>
            <w:r>
              <w:rPr>
                <w:rFonts w:hint="default" w:ascii="Times New Roman" w:hAnsi="Times New Roman" w:eastAsia="CESI仿宋-GB2312" w:cs="Times New Roman"/>
                <w:color w:val="auto"/>
                <w:sz w:val="24"/>
                <w:szCs w:val="24"/>
                <w:lang w:val="en-US" w:eastAsia="zh-CN"/>
              </w:rPr>
              <w:t>95.3%</w:t>
            </w:r>
          </w:p>
        </w:tc>
        <w:tc>
          <w:tcPr>
            <w:tcW w:w="1535" w:type="dxa"/>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CESI仿宋-GB2312" w:cs="Times New Roman"/>
                <w:color w:val="auto"/>
                <w:sz w:val="24"/>
                <w:szCs w:val="24"/>
                <w:lang w:val="en-US" w:eastAsia="zh-CN"/>
              </w:rPr>
            </w:pPr>
            <w:r>
              <w:rPr>
                <w:rFonts w:hint="default" w:ascii="Times New Roman" w:hAnsi="Times New Roman" w:eastAsia="CESI仿宋-GB2312" w:cs="Times New Roman"/>
                <w:color w:val="auto"/>
                <w:sz w:val="24"/>
                <w:szCs w:val="24"/>
                <w:lang w:val="en-US" w:eastAsia="zh-CN"/>
              </w:rPr>
              <w:t>100%</w:t>
            </w:r>
          </w:p>
        </w:tc>
      </w:tr>
    </w:tbl>
    <w:p>
      <w:pPr>
        <w:numPr>
          <w:ilvl w:val="0"/>
          <w:numId w:val="0"/>
        </w:numPr>
        <w:ind w:firstLine="560" w:firstLineChars="200"/>
        <w:rPr>
          <w:rFonts w:hint="default" w:ascii="Times New Roman" w:hAnsi="Times New Roman" w:eastAsia="黑体" w:cs="Times New Roman"/>
          <w:b w:val="0"/>
          <w:bCs w:val="0"/>
          <w:color w:val="auto"/>
          <w:lang w:val="en-US" w:eastAsia="zh-CN"/>
        </w:rPr>
      </w:pPr>
      <w:r>
        <w:rPr>
          <w:rFonts w:hint="default" w:ascii="Times New Roman" w:hAnsi="Times New Roman" w:eastAsia="黑体" w:cs="Times New Roman"/>
          <w:b w:val="0"/>
          <w:bCs w:val="0"/>
          <w:color w:val="auto"/>
          <w:lang w:val="en-US" w:eastAsia="zh-CN"/>
        </w:rPr>
        <w:t>3、五年达标率变化趋势</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ind w:firstLine="56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2018—2022年吉林省废水污染源执法监测企业达标率呈先上升后下降再上升趋势，2022年整体达标率为100%，过去五年达标率均维持在88.3%以上，其中2022年废水企业达标率最高为100%，详见图2-4。</w:t>
      </w:r>
    </w:p>
    <w:p>
      <w:pPr>
        <w:keepNext w:val="0"/>
        <w:keepLines w:val="0"/>
        <w:pageBreakBefore w:val="0"/>
        <w:widowControl w:val="0"/>
        <w:kinsoku/>
        <w:wordWrap/>
        <w:overflowPunct/>
        <w:topLinePunct w:val="0"/>
        <w:autoSpaceDE/>
        <w:autoSpaceDN/>
        <w:bidi w:val="0"/>
        <w:adjustRightInd/>
        <w:snapToGrid/>
        <w:spacing w:after="157" w:afterLines="50" w:line="360" w:lineRule="auto"/>
        <w:ind w:left="0" w:leftChars="0" w:firstLine="0" w:firstLineChars="0"/>
        <w:jc w:val="center"/>
        <w:textAlignment w:val="auto"/>
        <w:rPr>
          <w:rFonts w:hint="default" w:ascii="Times New Roman" w:hAnsi="Times New Roman" w:cs="Times New Roman"/>
          <w:color w:val="FF0000"/>
        </w:rPr>
      </w:pPr>
      <w:r>
        <w:rPr>
          <w:rFonts w:hint="default" w:ascii="Times New Roman" w:hAnsi="Times New Roman" w:cs="Times New Roman"/>
        </w:rPr>
        <w:drawing>
          <wp:inline distT="0" distB="0" distL="114300" distR="114300">
            <wp:extent cx="4572000" cy="2743200"/>
            <wp:effectExtent l="0" t="0" r="0" b="0"/>
            <wp:docPr id="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keepNext w:val="0"/>
        <w:keepLines w:val="0"/>
        <w:pageBreakBefore w:val="0"/>
        <w:widowControl w:val="0"/>
        <w:kinsoku/>
        <w:wordWrap/>
        <w:overflowPunct/>
        <w:topLinePunct w:val="0"/>
        <w:autoSpaceDE/>
        <w:autoSpaceDN/>
        <w:bidi w:val="0"/>
        <w:adjustRightInd/>
        <w:snapToGrid/>
        <w:spacing w:before="157" w:beforeLines="50"/>
        <w:ind w:firstLine="480" w:firstLineChars="200"/>
        <w:jc w:val="center"/>
        <w:textAlignment w:val="auto"/>
        <w:rPr>
          <w:rFonts w:hint="default" w:ascii="Times New Roman" w:hAnsi="Times New Roman" w:eastAsia="黑体" w:cs="Times New Roman"/>
          <w:b w:val="0"/>
          <w:bCs w:val="0"/>
          <w:color w:val="auto"/>
          <w:sz w:val="24"/>
          <w:szCs w:val="24"/>
          <w:lang w:val="en-US" w:eastAsia="zh-CN"/>
        </w:rPr>
      </w:pPr>
      <w:r>
        <w:rPr>
          <w:rFonts w:hint="default" w:ascii="Times New Roman" w:hAnsi="Times New Roman" w:eastAsia="黑体" w:cs="Times New Roman"/>
          <w:b w:val="0"/>
          <w:bCs w:val="0"/>
          <w:color w:val="auto"/>
          <w:sz w:val="24"/>
          <w:szCs w:val="24"/>
          <w:lang w:val="en-US" w:eastAsia="zh-CN"/>
        </w:rPr>
        <w:t>图2-4  2018-2022年全省重点废水企业达标率变化情况</w:t>
      </w:r>
    </w:p>
    <w:p>
      <w:pPr>
        <w:pStyle w:val="3"/>
        <w:bidi w:val="0"/>
        <w:rPr>
          <w:rFonts w:hint="default" w:ascii="Times New Roman" w:hAnsi="Times New Roman" w:eastAsia="黑体" w:cs="Times New Roman"/>
          <w:b w:val="0"/>
          <w:bCs/>
          <w:sz w:val="30"/>
          <w:szCs w:val="30"/>
          <w:lang w:val="en-US" w:eastAsia="zh-CN"/>
        </w:rPr>
      </w:pPr>
      <w:bookmarkStart w:id="23" w:name="_Toc20200"/>
      <w:bookmarkStart w:id="24" w:name="_Toc19055"/>
      <w:r>
        <w:rPr>
          <w:rFonts w:hint="default" w:ascii="Times New Roman" w:hAnsi="Times New Roman" w:eastAsia="黑体" w:cs="Times New Roman"/>
          <w:b w:val="0"/>
          <w:bCs/>
          <w:sz w:val="30"/>
          <w:szCs w:val="30"/>
          <w:lang w:val="en-US" w:eastAsia="zh-CN"/>
        </w:rPr>
        <w:t>2.2废气污染源执法监测情况</w:t>
      </w:r>
      <w:bookmarkEnd w:id="23"/>
      <w:bookmarkEnd w:id="24"/>
    </w:p>
    <w:p>
      <w:pPr>
        <w:ind w:firstLine="560" w:firstLineChars="200"/>
        <w:rPr>
          <w:rFonts w:hint="default" w:ascii="Times New Roman" w:hAnsi="Times New Roman" w:cs="Times New Roman"/>
          <w:color w:val="FF0000"/>
        </w:rPr>
      </w:pPr>
      <w:r>
        <w:rPr>
          <w:rFonts w:hint="default" w:ascii="Times New Roman" w:hAnsi="Times New Roman" w:cs="Times New Roman"/>
          <w:color w:val="auto"/>
          <w:lang w:val="en-US" w:eastAsia="zh-CN"/>
        </w:rPr>
        <w:t>吉林省按照监测方案中监测频次、执行的排放标准、法律法规和排污许可证等有关要求进行监测，</w:t>
      </w:r>
      <w:r>
        <w:rPr>
          <w:rFonts w:hint="default" w:ascii="Times New Roman" w:hAnsi="Times New Roman" w:cs="Times New Roman"/>
          <w:color w:val="auto"/>
        </w:rPr>
        <w:t>20</w:t>
      </w:r>
      <w:r>
        <w:rPr>
          <w:rFonts w:hint="default" w:ascii="Times New Roman" w:hAnsi="Times New Roman" w:cs="Times New Roman"/>
          <w:color w:val="auto"/>
          <w:lang w:val="en-US" w:eastAsia="zh-CN"/>
        </w:rPr>
        <w:t>22</w:t>
      </w:r>
      <w:r>
        <w:rPr>
          <w:rFonts w:hint="default" w:ascii="Times New Roman" w:hAnsi="Times New Roman" w:cs="Times New Roman"/>
          <w:color w:val="auto"/>
        </w:rPr>
        <w:t>年废气</w:t>
      </w:r>
      <w:r>
        <w:rPr>
          <w:rFonts w:hint="default" w:ascii="Times New Roman" w:hAnsi="Times New Roman" w:cs="Times New Roman"/>
          <w:color w:val="auto"/>
          <w:lang w:eastAsia="zh-CN"/>
        </w:rPr>
        <w:t>污染源执法</w:t>
      </w:r>
      <w:r>
        <w:rPr>
          <w:rFonts w:hint="default" w:ascii="Times New Roman" w:hAnsi="Times New Roman" w:cs="Times New Roman"/>
          <w:color w:val="auto"/>
        </w:rPr>
        <w:t>监测共计完成</w:t>
      </w:r>
      <w:r>
        <w:rPr>
          <w:rFonts w:hint="default" w:ascii="Times New Roman" w:hAnsi="Times New Roman" w:cs="Times New Roman"/>
          <w:color w:val="auto"/>
          <w:lang w:val="en-US" w:eastAsia="zh-CN"/>
        </w:rPr>
        <w:t>314</w:t>
      </w:r>
      <w:r>
        <w:rPr>
          <w:rFonts w:hint="default" w:ascii="Times New Roman" w:hAnsi="Times New Roman" w:cs="Times New Roman"/>
          <w:color w:val="auto"/>
        </w:rPr>
        <w:t>家企业</w:t>
      </w:r>
      <w:r>
        <w:rPr>
          <w:rFonts w:hint="default" w:ascii="Times New Roman" w:hAnsi="Times New Roman" w:cs="Times New Roman"/>
          <w:color w:val="auto"/>
          <w:lang w:val="en-US" w:eastAsia="zh-CN"/>
        </w:rPr>
        <w:t>，</w:t>
      </w:r>
      <w:r>
        <w:rPr>
          <w:rFonts w:hint="default" w:ascii="Times New Roman" w:hAnsi="Times New Roman" w:cs="Times New Roman"/>
          <w:color w:val="auto"/>
          <w:lang w:eastAsia="zh-CN"/>
        </w:rPr>
        <w:t>详见</w:t>
      </w:r>
      <w:r>
        <w:rPr>
          <w:rFonts w:hint="default" w:ascii="Times New Roman" w:hAnsi="Times New Roman" w:cs="Times New Roman"/>
          <w:color w:val="000000" w:themeColor="text1"/>
          <w14:textFill>
            <w14:solidFill>
              <w14:schemeClr w14:val="tx1"/>
            </w14:solidFill>
          </w14:textFill>
        </w:rPr>
        <w:t>表</w:t>
      </w:r>
      <w:r>
        <w:rPr>
          <w:rFonts w:hint="default"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6</w:t>
      </w:r>
      <w:r>
        <w:rPr>
          <w:rFonts w:hint="default" w:ascii="Times New Roman" w:hAnsi="Times New Roman" w:cs="Times New Roman"/>
          <w:color w:val="000000" w:themeColor="text1"/>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before="157" w:beforeLines="50"/>
        <w:ind w:firstLine="480" w:firstLineChars="200"/>
        <w:jc w:val="center"/>
        <w:textAlignment w:val="auto"/>
        <w:rPr>
          <w:rFonts w:hint="default" w:ascii="Times New Roman" w:hAnsi="Times New Roman" w:eastAsia="黑体" w:cs="Times New Roman"/>
          <w:b w:val="0"/>
          <w:bCs w:val="0"/>
          <w:color w:val="auto"/>
          <w:sz w:val="24"/>
          <w:szCs w:val="24"/>
          <w:lang w:val="en-US" w:eastAsia="zh-CN"/>
        </w:rPr>
      </w:pPr>
      <w:r>
        <w:rPr>
          <w:rFonts w:hint="default" w:ascii="Times New Roman" w:hAnsi="Times New Roman" w:eastAsia="黑体" w:cs="Times New Roman"/>
          <w:b w:val="0"/>
          <w:bCs w:val="0"/>
          <w:color w:val="auto"/>
          <w:sz w:val="24"/>
          <w:szCs w:val="24"/>
          <w:lang w:val="en-US" w:eastAsia="zh-CN"/>
        </w:rPr>
        <w:t>表2-6  2022年吉林省各市（州）污染源排放监测企业（废气）</w:t>
      </w:r>
    </w:p>
    <w:tbl>
      <w:tblPr>
        <w:tblStyle w:val="11"/>
        <w:tblW w:w="9004"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02"/>
        <w:gridCol w:w="4502"/>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blHeader/>
        </w:trPr>
        <w:tc>
          <w:tcPr>
            <w:tcW w:w="4502"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482" w:firstLineChars="200"/>
              <w:jc w:val="center"/>
              <w:textAlignment w:val="auto"/>
              <w:rPr>
                <w:rFonts w:hint="default" w:ascii="Times New Roman" w:hAnsi="Times New Roman" w:cs="Times New Roman"/>
                <w:color w:val="000000" w:themeColor="text1"/>
                <w:vertAlign w:val="baseline"/>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地区名称</w:t>
            </w:r>
          </w:p>
        </w:tc>
        <w:tc>
          <w:tcPr>
            <w:tcW w:w="4502"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482" w:firstLineChars="200"/>
              <w:jc w:val="center"/>
              <w:textAlignment w:val="auto"/>
              <w:rPr>
                <w:rFonts w:hint="default" w:ascii="Times New Roman" w:hAnsi="Times New Roman" w:cs="Times New Roman"/>
                <w:color w:val="000000" w:themeColor="text1"/>
                <w:vertAlign w:val="baseline"/>
                <w14:textFill>
                  <w14:solidFill>
                    <w14:schemeClr w14:val="tx1"/>
                  </w14:solidFill>
                </w14:textFill>
              </w:rPr>
            </w:pPr>
            <w:r>
              <w:rPr>
                <w:rFonts w:hint="default" w:ascii="Times New Roman" w:hAnsi="Times New Roman" w:cs="Times New Roman"/>
                <w:b/>
                <w:color w:val="000000" w:themeColor="text1"/>
                <w:sz w:val="24"/>
                <w:szCs w:val="24"/>
                <w:lang w:val="en-US" w:eastAsia="zh-CN"/>
                <w14:textFill>
                  <w14:solidFill>
                    <w14:schemeClr w14:val="tx1"/>
                  </w14:solidFill>
                </w14:textFill>
              </w:rPr>
              <w:t>全年污染源排放监测企业（家）</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000000" w:themeColor="text1"/>
                <w:sz w:val="21"/>
                <w:szCs w:val="21"/>
                <w:vertAlign w:val="baseline"/>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吉林省</w:t>
            </w:r>
          </w:p>
        </w:tc>
        <w:tc>
          <w:tcPr>
            <w:tcW w:w="4502" w:type="dxa"/>
            <w:tcBorders>
              <w:top w:val="single" w:color="auto" w:sz="12"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000000" w:themeColor="text1"/>
                <w:sz w:val="21"/>
                <w:szCs w:val="21"/>
                <w:vertAlign w:val="baseline"/>
                <w:lang w:val="en-US"/>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314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000000" w:themeColor="text1"/>
                <w:sz w:val="21"/>
                <w:szCs w:val="21"/>
                <w:vertAlign w:val="baseline"/>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长春市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000000" w:themeColor="text1"/>
                <w:sz w:val="21"/>
                <w:szCs w:val="21"/>
                <w:vertAlign w:val="baseline"/>
                <w:lang w:val="en-US"/>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129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000000" w:themeColor="text1"/>
                <w:sz w:val="21"/>
                <w:szCs w:val="21"/>
                <w:vertAlign w:val="baseline"/>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吉林市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000000" w:themeColor="text1"/>
                <w:sz w:val="21"/>
                <w:szCs w:val="21"/>
                <w:vertAlign w:val="baseline"/>
                <w:lang w:val="en-US"/>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83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000000" w:themeColor="text1"/>
                <w:sz w:val="21"/>
                <w:szCs w:val="21"/>
                <w:vertAlign w:val="baseline"/>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四平市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000000" w:themeColor="text1"/>
                <w:sz w:val="21"/>
                <w:szCs w:val="21"/>
                <w:vertAlign w:val="baseline"/>
                <w:lang w:val="en-US"/>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26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000000" w:themeColor="text1"/>
                <w:sz w:val="21"/>
                <w:szCs w:val="21"/>
                <w:vertAlign w:val="baseline"/>
                <w14:textFill>
                  <w14:solidFill>
                    <w14:schemeClr w14:val="tx1"/>
                  </w14:solidFill>
                </w14:textFill>
              </w:rPr>
            </w:pPr>
            <w:r>
              <w:rPr>
                <w:rFonts w:hint="default" w:ascii="Times New Roman" w:hAnsi="Times New Roman" w:eastAsia="仿宋" w:cs="Times New Roman"/>
                <w:color w:val="auto"/>
                <w:sz w:val="21"/>
                <w:szCs w:val="21"/>
              </w:rPr>
              <w:t>辽源市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000000" w:themeColor="text1"/>
                <w:sz w:val="21"/>
                <w:szCs w:val="21"/>
                <w:vertAlign w:val="baseline"/>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000000" w:themeColor="text1"/>
                <w:sz w:val="21"/>
                <w:szCs w:val="21"/>
                <w:vertAlign w:val="baseline"/>
                <w14:textFill>
                  <w14:solidFill>
                    <w14:schemeClr w14:val="tx1"/>
                  </w14:solidFill>
                </w14:textFill>
              </w:rPr>
            </w:pPr>
            <w:r>
              <w:rPr>
                <w:rFonts w:hint="default" w:ascii="Times New Roman" w:hAnsi="Times New Roman" w:eastAsia="仿宋" w:cs="Times New Roman"/>
                <w:color w:val="auto"/>
                <w:sz w:val="21"/>
                <w:szCs w:val="21"/>
              </w:rPr>
              <w:t>通化市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000000" w:themeColor="text1"/>
                <w:sz w:val="21"/>
                <w:szCs w:val="21"/>
                <w:vertAlign w:val="baseline"/>
                <w:lang w:val="en-US"/>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000000" w:themeColor="text1"/>
                <w:sz w:val="21"/>
                <w:szCs w:val="21"/>
                <w:lang w:eastAsia="zh-CN"/>
                <w14:textFill>
                  <w14:solidFill>
                    <w14:schemeClr w14:val="tx1"/>
                  </w14:solidFill>
                </w14:textFill>
              </w:rPr>
            </w:pPr>
            <w:r>
              <w:rPr>
                <w:rFonts w:hint="default" w:ascii="Times New Roman" w:hAnsi="Times New Roman" w:eastAsia="仿宋" w:cs="Times New Roman"/>
                <w:color w:val="auto"/>
                <w:sz w:val="21"/>
                <w:szCs w:val="21"/>
              </w:rPr>
              <w:t>白山市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000000" w:themeColor="text1"/>
                <w:sz w:val="21"/>
                <w:szCs w:val="21"/>
                <w:vertAlign w:val="baseline"/>
                <w14:textFill>
                  <w14:solidFill>
                    <w14:schemeClr w14:val="tx1"/>
                  </w14:solidFill>
                </w14:textFill>
              </w:rPr>
            </w:pPr>
            <w:r>
              <w:rPr>
                <w:rFonts w:hint="default" w:ascii="Times New Roman" w:hAnsi="Times New Roman" w:eastAsia="仿宋" w:cs="Times New Roman"/>
                <w:color w:val="auto"/>
                <w:sz w:val="21"/>
                <w:szCs w:val="21"/>
              </w:rPr>
              <w:t>松原市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000000" w:themeColor="text1"/>
                <w:sz w:val="21"/>
                <w:szCs w:val="21"/>
                <w:vertAlign w:val="baseline"/>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000000" w:themeColor="text1"/>
                <w:sz w:val="21"/>
                <w:szCs w:val="21"/>
                <w:vertAlign w:val="baseline"/>
                <w14:textFill>
                  <w14:solidFill>
                    <w14:schemeClr w14:val="tx1"/>
                  </w14:solidFill>
                </w14:textFill>
              </w:rPr>
            </w:pPr>
            <w:r>
              <w:rPr>
                <w:rFonts w:hint="default" w:ascii="Times New Roman" w:hAnsi="Times New Roman" w:eastAsia="仿宋" w:cs="Times New Roman"/>
                <w:color w:val="auto"/>
                <w:sz w:val="21"/>
                <w:szCs w:val="21"/>
              </w:rPr>
              <w:t>白城市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000000" w:themeColor="text1"/>
                <w:sz w:val="21"/>
                <w:szCs w:val="21"/>
                <w:vertAlign w:val="baseline"/>
                <w:lang w:val="en-US"/>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000000" w:themeColor="text1"/>
                <w:sz w:val="21"/>
                <w:szCs w:val="21"/>
                <w:vertAlign w:val="baseline"/>
                <w14:textFill>
                  <w14:solidFill>
                    <w14:schemeClr w14:val="tx1"/>
                  </w14:solidFill>
                </w14:textFill>
              </w:rPr>
            </w:pPr>
            <w:r>
              <w:rPr>
                <w:rFonts w:hint="default" w:ascii="Times New Roman" w:hAnsi="Times New Roman" w:eastAsia="仿宋" w:cs="Times New Roman"/>
                <w:color w:val="auto"/>
                <w:sz w:val="21"/>
                <w:szCs w:val="21"/>
              </w:rPr>
              <w:t>延边州</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000000" w:themeColor="text1"/>
                <w:sz w:val="21"/>
                <w:szCs w:val="21"/>
                <w:vertAlign w:val="baseline"/>
                <w:lang w:val="en-US"/>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27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000000" w:themeColor="text1"/>
                <w:sz w:val="21"/>
                <w:szCs w:val="21"/>
                <w:vertAlign w:val="baseline"/>
                <w14:textFill>
                  <w14:solidFill>
                    <w14:schemeClr w14:val="tx1"/>
                  </w14:solidFill>
                </w14:textFill>
              </w:rPr>
            </w:pPr>
            <w:r>
              <w:rPr>
                <w:rFonts w:hint="default" w:ascii="Times New Roman" w:hAnsi="Times New Roman" w:eastAsia="仿宋" w:cs="Times New Roman"/>
                <w:color w:val="auto"/>
                <w:sz w:val="21"/>
                <w:szCs w:val="21"/>
                <w:lang w:eastAsia="zh-CN"/>
              </w:rPr>
              <w:t>长白山管委会</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000000" w:themeColor="text1"/>
                <w:sz w:val="21"/>
                <w:szCs w:val="21"/>
                <w:vertAlign w:val="baseline"/>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000000" w:themeColor="text1"/>
                <w:sz w:val="21"/>
                <w:szCs w:val="21"/>
                <w:vertAlign w:val="baseline"/>
                <w14:textFill>
                  <w14:solidFill>
                    <w14:schemeClr w14:val="tx1"/>
                  </w14:solidFill>
                </w14:textFill>
              </w:rPr>
            </w:pPr>
            <w:r>
              <w:rPr>
                <w:rFonts w:hint="default" w:ascii="Times New Roman" w:hAnsi="Times New Roman" w:eastAsia="仿宋" w:cs="Times New Roman"/>
                <w:color w:val="auto"/>
                <w:sz w:val="21"/>
                <w:szCs w:val="21"/>
                <w:vertAlign w:val="baseline"/>
                <w:lang w:val="en-US" w:eastAsia="zh-CN"/>
              </w:rPr>
              <w:t>梅河口市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000000" w:themeColor="text1"/>
                <w:sz w:val="21"/>
                <w:szCs w:val="21"/>
                <w:vertAlign w:val="baseline"/>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4</w:t>
            </w:r>
          </w:p>
        </w:tc>
      </w:tr>
    </w:tbl>
    <w:p>
      <w:pPr>
        <w:pStyle w:val="3"/>
        <w:bidi w:val="0"/>
        <w:ind w:firstLine="560" w:firstLineChars="200"/>
        <w:rPr>
          <w:rFonts w:hint="default" w:ascii="Times New Roman" w:hAnsi="Times New Roman" w:eastAsia="黑体" w:cs="Times New Roman"/>
          <w:b w:val="0"/>
          <w:bCs/>
          <w:sz w:val="28"/>
          <w:szCs w:val="28"/>
          <w:lang w:val="en-US" w:eastAsia="zh-CN"/>
        </w:rPr>
      </w:pPr>
      <w:bookmarkStart w:id="25" w:name="_Toc14226"/>
      <w:bookmarkStart w:id="26" w:name="_Toc8698"/>
      <w:r>
        <w:rPr>
          <w:rFonts w:hint="default" w:ascii="Times New Roman" w:hAnsi="Times New Roman" w:eastAsia="黑体" w:cs="Times New Roman"/>
          <w:b w:val="0"/>
          <w:bCs/>
          <w:sz w:val="28"/>
          <w:szCs w:val="28"/>
          <w:lang w:val="en-US" w:eastAsia="zh-CN"/>
        </w:rPr>
        <w:t>2.</w:t>
      </w:r>
      <w:r>
        <w:rPr>
          <w:rFonts w:hint="eastAsia" w:ascii="Times New Roman" w:hAnsi="Times New Roman" w:eastAsia="黑体" w:cs="Times New Roman"/>
          <w:b w:val="0"/>
          <w:bCs/>
          <w:sz w:val="28"/>
          <w:szCs w:val="28"/>
          <w:lang w:val="en-US" w:eastAsia="zh-CN"/>
        </w:rPr>
        <w:t>2</w:t>
      </w:r>
      <w:r>
        <w:rPr>
          <w:rFonts w:hint="default" w:ascii="Times New Roman" w:hAnsi="Times New Roman" w:eastAsia="黑体" w:cs="Times New Roman"/>
          <w:b w:val="0"/>
          <w:bCs/>
          <w:sz w:val="28"/>
          <w:szCs w:val="28"/>
          <w:lang w:val="en-US" w:eastAsia="zh-CN"/>
        </w:rPr>
        <w:t>.1 废气污染企业总体达标情况</w:t>
      </w:r>
      <w:bookmarkEnd w:id="25"/>
      <w:bookmarkEnd w:id="26"/>
    </w:p>
    <w:p>
      <w:pPr>
        <w:keepNext w:val="0"/>
        <w:keepLines w:val="0"/>
        <w:pageBreakBefore w:val="0"/>
        <w:widowControl w:val="0"/>
        <w:kinsoku/>
        <w:wordWrap/>
        <w:overflowPunct/>
        <w:topLinePunct w:val="0"/>
        <w:autoSpaceDE/>
        <w:autoSpaceDN/>
        <w:bidi w:val="0"/>
        <w:adjustRightInd/>
        <w:snapToGrid/>
        <w:spacing w:before="157" w:beforeLines="50"/>
        <w:ind w:firstLine="56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吉林省</w:t>
      </w:r>
      <w:r>
        <w:rPr>
          <w:rFonts w:hint="default" w:ascii="Times New Roman" w:hAnsi="Times New Roman" w:cs="Times New Roman"/>
          <w:color w:val="000000" w:themeColor="text1"/>
          <w:lang w:eastAsia="zh-CN"/>
          <w14:textFill>
            <w14:solidFill>
              <w14:schemeClr w14:val="tx1"/>
            </w14:solidFill>
          </w14:textFill>
        </w:rPr>
        <w:t>全</w:t>
      </w:r>
      <w:r>
        <w:rPr>
          <w:rFonts w:hint="default" w:ascii="Times New Roman" w:hAnsi="Times New Roman" w:cs="Times New Roman"/>
          <w:color w:val="000000" w:themeColor="text1"/>
          <w14:textFill>
            <w14:solidFill>
              <w14:schemeClr w14:val="tx1"/>
            </w14:solidFill>
          </w14:textFill>
        </w:rPr>
        <w:t>年上报的</w:t>
      </w:r>
      <w:r>
        <w:rPr>
          <w:rFonts w:hint="default" w:ascii="Times New Roman" w:hAnsi="Times New Roman" w:cs="Times New Roman"/>
          <w:color w:val="000000" w:themeColor="text1"/>
          <w:lang w:val="en-US" w:eastAsia="zh-CN"/>
          <w14:textFill>
            <w14:solidFill>
              <w14:schemeClr w14:val="tx1"/>
            </w14:solidFill>
          </w14:textFill>
        </w:rPr>
        <w:t>314</w:t>
      </w:r>
      <w:r>
        <w:rPr>
          <w:rFonts w:hint="default" w:ascii="Times New Roman" w:hAnsi="Times New Roman" w:cs="Times New Roman"/>
          <w:color w:val="000000" w:themeColor="text1"/>
          <w14:textFill>
            <w14:solidFill>
              <w14:schemeClr w14:val="tx1"/>
            </w14:solidFill>
          </w14:textFill>
        </w:rPr>
        <w:t>家企业数据中，总体达标率达</w:t>
      </w:r>
      <w:r>
        <w:rPr>
          <w:rFonts w:hint="default" w:ascii="Times New Roman" w:hAnsi="Times New Roman" w:cs="Times New Roman"/>
          <w:color w:val="000000" w:themeColor="text1"/>
          <w:lang w:val="en-US" w:eastAsia="zh-CN"/>
          <w14:textFill>
            <w14:solidFill>
              <w14:schemeClr w14:val="tx1"/>
            </w14:solidFill>
          </w14:textFill>
        </w:rPr>
        <w:t>为99.4%</w:t>
      </w: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长春市达标率为98.4%，其他</w:t>
      </w:r>
      <w:r>
        <w:rPr>
          <w:rFonts w:hint="default" w:ascii="Times New Roman" w:hAnsi="Times New Roman" w:cs="Times New Roman"/>
          <w:color w:val="000000" w:themeColor="text1"/>
          <w14:textFill>
            <w14:solidFill>
              <w14:schemeClr w14:val="tx1"/>
            </w14:solidFill>
          </w14:textFill>
        </w:rPr>
        <w:t>市（州）</w:t>
      </w:r>
      <w:r>
        <w:rPr>
          <w:rFonts w:hint="default" w:ascii="Times New Roman" w:hAnsi="Times New Roman" w:cs="Times New Roman"/>
          <w:color w:val="000000" w:themeColor="text1"/>
          <w:lang w:val="en-US" w:eastAsia="zh-CN"/>
          <w14:textFill>
            <w14:solidFill>
              <w14:schemeClr w14:val="tx1"/>
            </w14:solidFill>
          </w14:textFill>
        </w:rPr>
        <w:t>达标率均为100%，详见</w:t>
      </w:r>
      <w:r>
        <w:rPr>
          <w:rFonts w:hint="default" w:ascii="Times New Roman" w:hAnsi="Times New Roman" w:cs="Times New Roman"/>
          <w:color w:val="000000" w:themeColor="text1"/>
          <w14:textFill>
            <w14:solidFill>
              <w14:schemeClr w14:val="tx1"/>
            </w14:solidFill>
          </w14:textFill>
        </w:rPr>
        <w:t>图</w:t>
      </w:r>
      <w:r>
        <w:rPr>
          <w:rFonts w:hint="default" w:ascii="Times New Roman" w:hAnsi="Times New Roman" w:cs="Times New Roman"/>
          <w:color w:val="000000" w:themeColor="text1"/>
          <w:lang w:val="en-US" w:eastAsia="zh-CN"/>
          <w14:textFill>
            <w14:solidFill>
              <w14:schemeClr w14:val="tx1"/>
            </w14:solidFill>
          </w14:textFill>
        </w:rPr>
        <w:t>2-5</w:t>
      </w:r>
      <w:r>
        <w:rPr>
          <w:rFonts w:hint="default" w:ascii="Times New Roman" w:hAnsi="Times New Roman" w:cs="Times New Roman"/>
          <w:color w:val="000000" w:themeColor="text1"/>
          <w14:textFill>
            <w14:solidFill>
              <w14:schemeClr w14:val="tx1"/>
            </w14:solidFill>
          </w14:textFill>
        </w:rPr>
        <w:t>。</w:t>
      </w:r>
    </w:p>
    <w:p>
      <w:pPr>
        <w:ind w:left="0" w:leftChars="0" w:firstLine="0" w:firstLineChars="0"/>
        <w:jc w:val="center"/>
        <w:rPr>
          <w:rFonts w:hint="default" w:ascii="Times New Roman" w:hAnsi="Times New Roman" w:eastAsia="仿宋_GB2312" w:cs="Times New Roman"/>
          <w:color w:val="FF0000"/>
          <w:lang w:val="en-US" w:eastAsia="zh-CN"/>
        </w:rPr>
      </w:pPr>
      <w:r>
        <w:rPr>
          <w:rFonts w:hint="default" w:ascii="Times New Roman" w:hAnsi="Times New Roman" w:cs="Times New Roman"/>
        </w:rPr>
        <w:drawing>
          <wp:inline distT="0" distB="0" distL="114300" distR="114300">
            <wp:extent cx="4754245" cy="3275330"/>
            <wp:effectExtent l="0" t="0" r="0" b="0"/>
            <wp:docPr id="8"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keepNext w:val="0"/>
        <w:keepLines w:val="0"/>
        <w:pageBreakBefore w:val="0"/>
        <w:widowControl w:val="0"/>
        <w:kinsoku/>
        <w:wordWrap/>
        <w:overflowPunct/>
        <w:topLinePunct w:val="0"/>
        <w:autoSpaceDE/>
        <w:autoSpaceDN/>
        <w:bidi w:val="0"/>
        <w:adjustRightInd/>
        <w:snapToGrid/>
        <w:spacing w:before="157" w:beforeLines="50"/>
        <w:ind w:firstLine="480" w:firstLineChars="200"/>
        <w:jc w:val="center"/>
        <w:textAlignment w:val="auto"/>
        <w:rPr>
          <w:rFonts w:hint="default" w:ascii="Times New Roman" w:hAnsi="Times New Roman" w:eastAsia="黑体" w:cs="Times New Roman"/>
          <w:b w:val="0"/>
          <w:bCs w:val="0"/>
          <w:color w:val="auto"/>
          <w:sz w:val="24"/>
          <w:szCs w:val="24"/>
          <w:lang w:val="en-US" w:eastAsia="zh-CN"/>
        </w:rPr>
      </w:pPr>
      <w:r>
        <w:rPr>
          <w:rFonts w:hint="default" w:ascii="Times New Roman" w:hAnsi="Times New Roman" w:eastAsia="黑体" w:cs="Times New Roman"/>
          <w:b w:val="0"/>
          <w:bCs w:val="0"/>
          <w:color w:val="auto"/>
          <w:sz w:val="24"/>
          <w:szCs w:val="24"/>
          <w:lang w:val="en-US" w:eastAsia="zh-CN"/>
        </w:rPr>
        <w:t>图2-5  2022年吉林省各市（州）污染源排放监测企业（废气）综合达标率</w:t>
      </w:r>
    </w:p>
    <w:p>
      <w:pPr>
        <w:pStyle w:val="3"/>
        <w:bidi w:val="0"/>
        <w:rPr>
          <w:rFonts w:hint="default" w:ascii="Times New Roman" w:hAnsi="Times New Roman" w:eastAsia="黑体" w:cs="Times New Roman"/>
          <w:b w:val="0"/>
          <w:bCs/>
          <w:sz w:val="28"/>
          <w:szCs w:val="28"/>
          <w:lang w:val="en-US" w:eastAsia="zh-CN"/>
        </w:rPr>
      </w:pPr>
      <w:bookmarkStart w:id="27" w:name="_Toc1630"/>
      <w:bookmarkStart w:id="28" w:name="_Toc6951"/>
      <w:bookmarkStart w:id="29" w:name="_Toc25929"/>
      <w:r>
        <w:rPr>
          <w:rFonts w:hint="default" w:ascii="Times New Roman" w:hAnsi="Times New Roman" w:eastAsia="黑体" w:cs="Times New Roman"/>
          <w:b w:val="0"/>
          <w:bCs/>
          <w:sz w:val="28"/>
          <w:szCs w:val="28"/>
          <w:lang w:val="en-US" w:eastAsia="zh-CN"/>
        </w:rPr>
        <w:t>2.2.2废气污染源执法监测超标分析</w:t>
      </w:r>
      <w:bookmarkEnd w:id="27"/>
      <w:bookmarkEnd w:id="28"/>
      <w:bookmarkEnd w:id="29"/>
    </w:p>
    <w:p>
      <w:pPr>
        <w:spacing w:line="360" w:lineRule="auto"/>
        <w:ind w:firstLine="560" w:firstLineChars="200"/>
        <w:jc w:val="both"/>
        <w:rPr>
          <w:rFonts w:hint="default" w:ascii="Times New Roman" w:hAnsi="Times New Roman" w:cs="Times New Roman"/>
          <w:lang w:val="en-US" w:eastAsia="zh-CN"/>
        </w:rPr>
      </w:pPr>
      <w:r>
        <w:rPr>
          <w:rFonts w:hint="default" w:ascii="Times New Roman" w:hAnsi="Times New Roman" w:cs="Times New Roman"/>
          <w:lang w:val="en-US" w:eastAsia="zh-CN"/>
        </w:rPr>
        <w:t>全省2022年全年污染源执法监测超标数据中，长春市有2家在废气污染源执法监测中超标，详见表2-7。</w:t>
      </w:r>
    </w:p>
    <w:p>
      <w:pPr>
        <w:spacing w:line="360" w:lineRule="auto"/>
        <w:ind w:firstLine="480" w:firstLineChars="200"/>
        <w:jc w:val="both"/>
        <w:rPr>
          <w:rFonts w:hint="default" w:ascii="Times New Roman" w:hAnsi="Times New Roman" w:eastAsia="黑体" w:cs="Times New Roman"/>
          <w:b w:val="0"/>
          <w:bCs w:val="0"/>
          <w:color w:val="auto"/>
          <w:sz w:val="24"/>
          <w:szCs w:val="24"/>
          <w:lang w:val="en-US" w:eastAsia="zh-CN"/>
        </w:rPr>
      </w:pPr>
    </w:p>
    <w:p>
      <w:pPr>
        <w:spacing w:line="360" w:lineRule="auto"/>
        <w:ind w:firstLine="480" w:firstLineChars="200"/>
        <w:jc w:val="both"/>
        <w:rPr>
          <w:rFonts w:hint="default" w:ascii="Times New Roman" w:hAnsi="Times New Roman" w:eastAsia="黑体" w:cs="Times New Roman"/>
          <w:b w:val="0"/>
          <w:bCs w:val="0"/>
          <w:color w:val="auto"/>
          <w:sz w:val="24"/>
          <w:szCs w:val="24"/>
          <w:lang w:val="en-US" w:eastAsia="zh-CN"/>
        </w:rPr>
      </w:pPr>
    </w:p>
    <w:p>
      <w:pPr>
        <w:spacing w:line="360" w:lineRule="auto"/>
        <w:jc w:val="center"/>
        <w:rPr>
          <w:rFonts w:hint="default" w:ascii="Times New Roman" w:hAnsi="Times New Roman" w:eastAsia="黑体" w:cs="Times New Roman"/>
          <w:b w:val="0"/>
          <w:bCs w:val="0"/>
          <w:color w:val="auto"/>
          <w:sz w:val="24"/>
          <w:szCs w:val="24"/>
          <w:lang w:val="en-US" w:eastAsia="zh-CN"/>
        </w:rPr>
      </w:pPr>
      <w:r>
        <w:rPr>
          <w:rFonts w:hint="default" w:ascii="Times New Roman" w:hAnsi="Times New Roman" w:eastAsia="黑体" w:cs="Times New Roman"/>
          <w:b w:val="0"/>
          <w:bCs w:val="0"/>
          <w:color w:val="auto"/>
          <w:sz w:val="24"/>
          <w:szCs w:val="24"/>
          <w:lang w:val="en-US" w:eastAsia="zh-CN"/>
        </w:rPr>
        <w:t>表2-7  2022年吉林省各市（州）废气污染源执法监测超标</w:t>
      </w:r>
    </w:p>
    <w:tbl>
      <w:tblPr>
        <w:tblStyle w:val="10"/>
        <w:tblW w:w="9079" w:type="dxa"/>
        <w:jc w:val="center"/>
        <w:tblBorders>
          <w:top w:val="single" w:color="000000" w:sz="6" w:space="0"/>
          <w:left w:val="none" w:color="auto" w:sz="0" w:space="0"/>
          <w:bottom w:val="single" w:color="000000" w:sz="6" w:space="0"/>
          <w:right w:val="none" w:color="auto" w:sz="0" w:space="0"/>
          <w:insideH w:val="single" w:color="000000" w:sz="2" w:space="0"/>
          <w:insideV w:val="single" w:color="000000" w:sz="2" w:space="0"/>
        </w:tblBorders>
        <w:tblLayout w:type="fixed"/>
        <w:tblCellMar>
          <w:top w:w="0" w:type="dxa"/>
          <w:left w:w="0" w:type="dxa"/>
          <w:bottom w:w="0" w:type="dxa"/>
          <w:right w:w="0" w:type="dxa"/>
        </w:tblCellMar>
      </w:tblPr>
      <w:tblGrid>
        <w:gridCol w:w="423"/>
        <w:gridCol w:w="535"/>
        <w:gridCol w:w="1586"/>
        <w:gridCol w:w="744"/>
        <w:gridCol w:w="1078"/>
        <w:gridCol w:w="814"/>
        <w:gridCol w:w="536"/>
        <w:gridCol w:w="900"/>
        <w:gridCol w:w="535"/>
        <w:gridCol w:w="329"/>
        <w:gridCol w:w="871"/>
        <w:gridCol w:w="488"/>
        <w:gridCol w:w="240"/>
      </w:tblGrid>
      <w:tr>
        <w:tblPrEx>
          <w:tblBorders>
            <w:top w:val="single" w:color="000000" w:sz="6" w:space="0"/>
            <w:left w:val="none" w:color="auto" w:sz="0" w:space="0"/>
            <w:bottom w:val="single" w:color="000000" w:sz="6" w:space="0"/>
            <w:right w:val="none" w:color="auto" w:sz="0" w:space="0"/>
            <w:insideH w:val="single" w:color="000000" w:sz="2" w:space="0"/>
            <w:insideV w:val="single" w:color="000000" w:sz="2" w:space="0"/>
          </w:tblBorders>
          <w:tblCellMar>
            <w:top w:w="0" w:type="dxa"/>
            <w:left w:w="0" w:type="dxa"/>
            <w:bottom w:w="0" w:type="dxa"/>
            <w:right w:w="0" w:type="dxa"/>
          </w:tblCellMar>
        </w:tblPrEx>
        <w:trPr>
          <w:tblHeader/>
          <w:jc w:val="center"/>
        </w:trPr>
        <w:tc>
          <w:tcPr>
            <w:tcW w:w="423" w:type="dxa"/>
            <w:vMerge w:val="restart"/>
            <w:tcBorders>
              <w:tl2br w:val="nil"/>
              <w:tr2bl w:val="nil"/>
            </w:tcBorders>
            <w:noWrap w:val="0"/>
            <w:vAlign w:val="center"/>
          </w:tcPr>
          <w:p>
            <w:pPr>
              <w:widowControl/>
              <w:spacing w:line="320" w:lineRule="exact"/>
              <w:ind w:left="0" w:leftChars="0" w:firstLine="0" w:firstLineChars="0"/>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rPr>
              <w:t>序号</w:t>
            </w:r>
          </w:p>
        </w:tc>
        <w:tc>
          <w:tcPr>
            <w:tcW w:w="535" w:type="dxa"/>
            <w:vMerge w:val="restart"/>
            <w:tcBorders>
              <w:tl2br w:val="nil"/>
              <w:tr2bl w:val="nil"/>
            </w:tcBorders>
            <w:noWrap w:val="0"/>
            <w:vAlign w:val="center"/>
          </w:tcPr>
          <w:p>
            <w:pPr>
              <w:widowControl/>
              <w:spacing w:line="320" w:lineRule="exact"/>
              <w:ind w:left="0" w:leftChars="0" w:firstLine="0" w:firstLineChars="0"/>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rPr>
              <w:t>地区</w:t>
            </w:r>
          </w:p>
        </w:tc>
        <w:tc>
          <w:tcPr>
            <w:tcW w:w="1586" w:type="dxa"/>
            <w:vMerge w:val="restart"/>
            <w:tcBorders>
              <w:tl2br w:val="nil"/>
              <w:tr2bl w:val="nil"/>
            </w:tcBorders>
            <w:noWrap w:val="0"/>
            <w:vAlign w:val="center"/>
          </w:tcPr>
          <w:p>
            <w:pPr>
              <w:widowControl/>
              <w:spacing w:line="320" w:lineRule="exact"/>
              <w:ind w:left="0" w:leftChars="0" w:firstLine="0" w:firstLineChars="0"/>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rPr>
              <w:t>超标企业</w:t>
            </w:r>
          </w:p>
        </w:tc>
        <w:tc>
          <w:tcPr>
            <w:tcW w:w="744" w:type="dxa"/>
            <w:vMerge w:val="restart"/>
            <w:tcBorders>
              <w:tl2br w:val="nil"/>
              <w:tr2bl w:val="nil"/>
            </w:tcBorders>
            <w:noWrap w:val="0"/>
            <w:vAlign w:val="center"/>
          </w:tcPr>
          <w:p>
            <w:pPr>
              <w:widowControl/>
              <w:spacing w:line="320" w:lineRule="exact"/>
              <w:ind w:left="0" w:leftChars="0" w:firstLine="0" w:firstLineChars="0"/>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rPr>
              <w:t>监测点名称</w:t>
            </w:r>
          </w:p>
        </w:tc>
        <w:tc>
          <w:tcPr>
            <w:tcW w:w="1078" w:type="dxa"/>
            <w:vMerge w:val="restart"/>
            <w:tcBorders>
              <w:tl2br w:val="nil"/>
              <w:tr2bl w:val="nil"/>
            </w:tcBorders>
            <w:noWrap w:val="0"/>
            <w:vAlign w:val="center"/>
          </w:tcPr>
          <w:p>
            <w:pPr>
              <w:widowControl/>
              <w:spacing w:line="320" w:lineRule="exact"/>
              <w:ind w:left="0" w:leftChars="0" w:firstLine="0" w:firstLineChars="0"/>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rPr>
              <w:t>监测日期</w:t>
            </w:r>
          </w:p>
        </w:tc>
        <w:tc>
          <w:tcPr>
            <w:tcW w:w="2785" w:type="dxa"/>
            <w:gridSpan w:val="4"/>
            <w:tcBorders>
              <w:tl2br w:val="nil"/>
              <w:tr2bl w:val="nil"/>
            </w:tcBorders>
            <w:noWrap w:val="0"/>
            <w:vAlign w:val="center"/>
          </w:tcPr>
          <w:p>
            <w:pPr>
              <w:widowControl/>
              <w:spacing w:line="320" w:lineRule="exact"/>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rPr>
              <w:t>主要污染物</w:t>
            </w:r>
          </w:p>
        </w:tc>
        <w:tc>
          <w:tcPr>
            <w:tcW w:w="1688" w:type="dxa"/>
            <w:gridSpan w:val="3"/>
            <w:vMerge w:val="restart"/>
            <w:tcBorders>
              <w:tl2br w:val="nil"/>
              <w:tr2bl w:val="nil"/>
            </w:tcBorders>
            <w:noWrap w:val="0"/>
            <w:vAlign w:val="center"/>
          </w:tcPr>
          <w:p>
            <w:pPr>
              <w:widowControl/>
              <w:spacing w:line="320" w:lineRule="exact"/>
              <w:ind w:left="0" w:leftChars="0" w:firstLine="0" w:firstLineChars="0"/>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rPr>
              <w:t>其他污染物</w:t>
            </w:r>
          </w:p>
        </w:tc>
        <w:tc>
          <w:tcPr>
            <w:tcW w:w="240" w:type="dxa"/>
            <w:vMerge w:val="restart"/>
            <w:tcBorders>
              <w:tl2br w:val="nil"/>
              <w:tr2bl w:val="nil"/>
            </w:tcBorders>
            <w:noWrap w:val="0"/>
            <w:vAlign w:val="center"/>
          </w:tcPr>
          <w:p>
            <w:pPr>
              <w:widowControl/>
              <w:spacing w:line="320" w:lineRule="exact"/>
              <w:ind w:left="0" w:leftChars="0" w:firstLine="0" w:firstLineChars="0"/>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rPr>
              <w:t>备注</w:t>
            </w:r>
          </w:p>
        </w:tc>
      </w:tr>
      <w:tr>
        <w:tblPrEx>
          <w:tblBorders>
            <w:top w:val="single" w:color="000000" w:sz="6" w:space="0"/>
            <w:left w:val="none" w:color="auto" w:sz="0" w:space="0"/>
            <w:bottom w:val="single" w:color="000000" w:sz="6" w:space="0"/>
            <w:right w:val="none" w:color="auto" w:sz="0" w:space="0"/>
            <w:insideH w:val="single" w:color="000000" w:sz="2" w:space="0"/>
            <w:insideV w:val="single" w:color="000000" w:sz="2" w:space="0"/>
          </w:tblBorders>
          <w:tblCellMar>
            <w:top w:w="0" w:type="dxa"/>
            <w:left w:w="0" w:type="dxa"/>
            <w:bottom w:w="0" w:type="dxa"/>
            <w:right w:w="0" w:type="dxa"/>
          </w:tblCellMar>
        </w:tblPrEx>
        <w:trPr>
          <w:tblHeader/>
          <w:jc w:val="center"/>
        </w:trPr>
        <w:tc>
          <w:tcPr>
            <w:tcW w:w="423" w:type="dxa"/>
            <w:vMerge w:val="continue"/>
            <w:tcBorders>
              <w:tl2br w:val="nil"/>
              <w:tr2bl w:val="nil"/>
            </w:tcBorders>
            <w:noWrap w:val="0"/>
            <w:vAlign w:val="center"/>
          </w:tcPr>
          <w:p>
            <w:pPr>
              <w:widowControl/>
              <w:spacing w:line="320" w:lineRule="exact"/>
              <w:jc w:val="center"/>
              <w:rPr>
                <w:rFonts w:hint="default" w:ascii="Times New Roman" w:hAnsi="Times New Roman" w:eastAsia="黑体" w:cs="Times New Roman"/>
                <w:b/>
                <w:sz w:val="24"/>
                <w:szCs w:val="24"/>
              </w:rPr>
            </w:pPr>
          </w:p>
        </w:tc>
        <w:tc>
          <w:tcPr>
            <w:tcW w:w="535" w:type="dxa"/>
            <w:vMerge w:val="continue"/>
            <w:tcBorders>
              <w:tl2br w:val="nil"/>
              <w:tr2bl w:val="nil"/>
            </w:tcBorders>
            <w:noWrap w:val="0"/>
            <w:vAlign w:val="center"/>
          </w:tcPr>
          <w:p>
            <w:pPr>
              <w:widowControl/>
              <w:spacing w:line="320" w:lineRule="exact"/>
              <w:jc w:val="center"/>
              <w:rPr>
                <w:rFonts w:hint="default" w:ascii="Times New Roman" w:hAnsi="Times New Roman" w:eastAsia="黑体" w:cs="Times New Roman"/>
                <w:b/>
                <w:sz w:val="24"/>
                <w:szCs w:val="24"/>
              </w:rPr>
            </w:pPr>
          </w:p>
        </w:tc>
        <w:tc>
          <w:tcPr>
            <w:tcW w:w="1586" w:type="dxa"/>
            <w:vMerge w:val="continue"/>
            <w:tcBorders>
              <w:tl2br w:val="nil"/>
              <w:tr2bl w:val="nil"/>
            </w:tcBorders>
            <w:noWrap w:val="0"/>
            <w:vAlign w:val="center"/>
          </w:tcPr>
          <w:p>
            <w:pPr>
              <w:widowControl/>
              <w:spacing w:line="320" w:lineRule="exact"/>
              <w:jc w:val="center"/>
              <w:rPr>
                <w:rFonts w:hint="default" w:ascii="Times New Roman" w:hAnsi="Times New Roman" w:eastAsia="黑体" w:cs="Times New Roman"/>
                <w:b/>
                <w:sz w:val="24"/>
                <w:szCs w:val="24"/>
              </w:rPr>
            </w:pPr>
          </w:p>
        </w:tc>
        <w:tc>
          <w:tcPr>
            <w:tcW w:w="744" w:type="dxa"/>
            <w:vMerge w:val="continue"/>
            <w:tcBorders>
              <w:tl2br w:val="nil"/>
              <w:tr2bl w:val="nil"/>
            </w:tcBorders>
            <w:noWrap w:val="0"/>
            <w:vAlign w:val="center"/>
          </w:tcPr>
          <w:p>
            <w:pPr>
              <w:widowControl/>
              <w:spacing w:line="320" w:lineRule="exact"/>
              <w:jc w:val="center"/>
              <w:rPr>
                <w:rFonts w:hint="default" w:ascii="Times New Roman" w:hAnsi="Times New Roman" w:eastAsia="黑体" w:cs="Times New Roman"/>
                <w:b/>
                <w:sz w:val="24"/>
                <w:szCs w:val="24"/>
              </w:rPr>
            </w:pPr>
          </w:p>
        </w:tc>
        <w:tc>
          <w:tcPr>
            <w:tcW w:w="1078" w:type="dxa"/>
            <w:vMerge w:val="continue"/>
            <w:tcBorders>
              <w:tl2br w:val="nil"/>
              <w:tr2bl w:val="nil"/>
            </w:tcBorders>
            <w:noWrap w:val="0"/>
            <w:vAlign w:val="center"/>
          </w:tcPr>
          <w:p>
            <w:pPr>
              <w:widowControl/>
              <w:spacing w:line="320" w:lineRule="exact"/>
              <w:jc w:val="center"/>
              <w:rPr>
                <w:rFonts w:hint="default" w:ascii="Times New Roman" w:hAnsi="Times New Roman" w:eastAsia="黑体" w:cs="Times New Roman"/>
                <w:b/>
                <w:sz w:val="24"/>
                <w:szCs w:val="24"/>
              </w:rPr>
            </w:pPr>
          </w:p>
        </w:tc>
        <w:tc>
          <w:tcPr>
            <w:tcW w:w="1350" w:type="dxa"/>
            <w:gridSpan w:val="2"/>
            <w:tcBorders>
              <w:tl2br w:val="nil"/>
              <w:tr2bl w:val="nil"/>
            </w:tcBorders>
            <w:noWrap w:val="0"/>
            <w:vAlign w:val="center"/>
          </w:tcPr>
          <w:p>
            <w:pPr>
              <w:widowControl/>
              <w:spacing w:line="320" w:lineRule="exact"/>
              <w:ind w:left="0" w:leftChars="0" w:firstLine="0" w:firstLineChars="0"/>
              <w:jc w:val="center"/>
              <w:rPr>
                <w:rFonts w:hint="default" w:ascii="Times New Roman" w:hAnsi="Times New Roman" w:eastAsia="黑体" w:cs="Times New Roman"/>
                <w:b w:val="0"/>
                <w:bCs/>
                <w:sz w:val="24"/>
                <w:szCs w:val="24"/>
                <w:lang w:val="en-US" w:eastAsia="zh-CN"/>
              </w:rPr>
            </w:pPr>
            <w:r>
              <w:rPr>
                <w:rFonts w:hint="default" w:ascii="Times New Roman" w:hAnsi="Times New Roman" w:eastAsia="黑体" w:cs="Times New Roman"/>
                <w:b w:val="0"/>
                <w:bCs/>
                <w:sz w:val="24"/>
                <w:szCs w:val="24"/>
                <w:lang w:val="en-US" w:eastAsia="zh-CN"/>
              </w:rPr>
              <w:t>SO</w:t>
            </w:r>
            <w:r>
              <w:rPr>
                <w:rFonts w:hint="default" w:ascii="Times New Roman" w:hAnsi="Times New Roman" w:eastAsia="黑体" w:cs="Times New Roman"/>
                <w:b w:val="0"/>
                <w:bCs/>
                <w:sz w:val="24"/>
                <w:szCs w:val="24"/>
                <w:vertAlign w:val="subscript"/>
                <w:lang w:val="en-US" w:eastAsia="zh-CN"/>
              </w:rPr>
              <w:t>2</w:t>
            </w:r>
          </w:p>
        </w:tc>
        <w:tc>
          <w:tcPr>
            <w:tcW w:w="1435" w:type="dxa"/>
            <w:gridSpan w:val="2"/>
            <w:tcBorders>
              <w:tl2br w:val="nil"/>
              <w:tr2bl w:val="nil"/>
            </w:tcBorders>
            <w:noWrap w:val="0"/>
            <w:vAlign w:val="center"/>
          </w:tcPr>
          <w:p>
            <w:pPr>
              <w:widowControl/>
              <w:spacing w:line="320" w:lineRule="exact"/>
              <w:ind w:left="0" w:leftChars="0" w:firstLine="0" w:firstLineChars="0"/>
              <w:jc w:val="center"/>
              <w:rPr>
                <w:rFonts w:hint="default" w:ascii="Times New Roman" w:hAnsi="Times New Roman" w:eastAsia="黑体" w:cs="Times New Roman"/>
                <w:b w:val="0"/>
                <w:bCs/>
                <w:sz w:val="24"/>
                <w:szCs w:val="24"/>
                <w:lang w:val="en-US" w:eastAsia="zh-CN"/>
              </w:rPr>
            </w:pPr>
            <w:r>
              <w:rPr>
                <w:rFonts w:hint="default" w:ascii="Times New Roman" w:hAnsi="Times New Roman" w:eastAsia="黑体" w:cs="Times New Roman"/>
                <w:b w:val="0"/>
                <w:bCs/>
                <w:sz w:val="24"/>
                <w:szCs w:val="24"/>
                <w:lang w:val="en-US" w:eastAsia="zh-CN"/>
              </w:rPr>
              <w:t>NO</w:t>
            </w:r>
            <w:r>
              <w:rPr>
                <w:rFonts w:hint="default" w:ascii="Times New Roman" w:hAnsi="Times New Roman" w:eastAsia="黑体" w:cs="Times New Roman"/>
                <w:b w:val="0"/>
                <w:bCs/>
                <w:sz w:val="24"/>
                <w:szCs w:val="24"/>
                <w:vertAlign w:val="subscript"/>
                <w:lang w:val="en-US" w:eastAsia="zh-CN"/>
              </w:rPr>
              <w:t>X</w:t>
            </w:r>
          </w:p>
        </w:tc>
        <w:tc>
          <w:tcPr>
            <w:tcW w:w="1688" w:type="dxa"/>
            <w:gridSpan w:val="3"/>
            <w:vMerge w:val="continue"/>
            <w:tcBorders>
              <w:tl2br w:val="nil"/>
              <w:tr2bl w:val="nil"/>
            </w:tcBorders>
            <w:noWrap w:val="0"/>
            <w:vAlign w:val="center"/>
          </w:tcPr>
          <w:p>
            <w:pPr>
              <w:widowControl/>
              <w:spacing w:line="320" w:lineRule="exact"/>
              <w:jc w:val="center"/>
              <w:rPr>
                <w:rFonts w:hint="default" w:ascii="Times New Roman" w:hAnsi="Times New Roman" w:eastAsia="黑体" w:cs="Times New Roman"/>
                <w:b w:val="0"/>
                <w:bCs/>
                <w:sz w:val="24"/>
                <w:szCs w:val="24"/>
              </w:rPr>
            </w:pPr>
          </w:p>
        </w:tc>
        <w:tc>
          <w:tcPr>
            <w:tcW w:w="240" w:type="dxa"/>
            <w:vMerge w:val="continue"/>
            <w:tcBorders>
              <w:tl2br w:val="nil"/>
              <w:tr2bl w:val="nil"/>
            </w:tcBorders>
            <w:noWrap w:val="0"/>
            <w:vAlign w:val="center"/>
          </w:tcPr>
          <w:p>
            <w:pPr>
              <w:jc w:val="center"/>
              <w:rPr>
                <w:rFonts w:hint="default" w:ascii="Times New Roman" w:hAnsi="Times New Roman" w:eastAsia="黑体" w:cs="Times New Roman"/>
                <w:sz w:val="24"/>
                <w:szCs w:val="24"/>
              </w:rPr>
            </w:pPr>
          </w:p>
        </w:tc>
      </w:tr>
      <w:tr>
        <w:tblPrEx>
          <w:tblBorders>
            <w:top w:val="single" w:color="000000" w:sz="6" w:space="0"/>
            <w:left w:val="none" w:color="auto" w:sz="0" w:space="0"/>
            <w:bottom w:val="single" w:color="000000" w:sz="6" w:space="0"/>
            <w:right w:val="none" w:color="auto" w:sz="0" w:space="0"/>
            <w:insideH w:val="single" w:color="000000" w:sz="2" w:space="0"/>
            <w:insideV w:val="single" w:color="000000" w:sz="2" w:space="0"/>
          </w:tblBorders>
          <w:tblCellMar>
            <w:top w:w="0" w:type="dxa"/>
            <w:left w:w="0" w:type="dxa"/>
            <w:bottom w:w="0" w:type="dxa"/>
            <w:right w:w="0" w:type="dxa"/>
          </w:tblCellMar>
        </w:tblPrEx>
        <w:trPr>
          <w:tblHeader/>
          <w:jc w:val="center"/>
        </w:trPr>
        <w:tc>
          <w:tcPr>
            <w:tcW w:w="423" w:type="dxa"/>
            <w:vMerge w:val="continue"/>
            <w:tcBorders>
              <w:tl2br w:val="nil"/>
              <w:tr2bl w:val="nil"/>
            </w:tcBorders>
            <w:noWrap w:val="0"/>
            <w:vAlign w:val="center"/>
          </w:tcPr>
          <w:p>
            <w:pPr>
              <w:widowControl/>
              <w:spacing w:line="320" w:lineRule="exact"/>
              <w:jc w:val="center"/>
              <w:rPr>
                <w:rFonts w:hint="default" w:ascii="Times New Roman" w:hAnsi="Times New Roman" w:eastAsia="黑体" w:cs="Times New Roman"/>
                <w:b/>
                <w:sz w:val="24"/>
                <w:szCs w:val="24"/>
              </w:rPr>
            </w:pPr>
          </w:p>
        </w:tc>
        <w:tc>
          <w:tcPr>
            <w:tcW w:w="535" w:type="dxa"/>
            <w:vMerge w:val="continue"/>
            <w:tcBorders>
              <w:tl2br w:val="nil"/>
              <w:tr2bl w:val="nil"/>
            </w:tcBorders>
            <w:noWrap w:val="0"/>
            <w:vAlign w:val="center"/>
          </w:tcPr>
          <w:p>
            <w:pPr>
              <w:widowControl/>
              <w:spacing w:line="320" w:lineRule="exact"/>
              <w:jc w:val="center"/>
              <w:rPr>
                <w:rFonts w:hint="default" w:ascii="Times New Roman" w:hAnsi="Times New Roman" w:eastAsia="黑体" w:cs="Times New Roman"/>
                <w:b/>
                <w:sz w:val="24"/>
                <w:szCs w:val="24"/>
              </w:rPr>
            </w:pPr>
          </w:p>
        </w:tc>
        <w:tc>
          <w:tcPr>
            <w:tcW w:w="1586" w:type="dxa"/>
            <w:vMerge w:val="continue"/>
            <w:tcBorders>
              <w:tl2br w:val="nil"/>
              <w:tr2bl w:val="nil"/>
            </w:tcBorders>
            <w:noWrap w:val="0"/>
            <w:vAlign w:val="center"/>
          </w:tcPr>
          <w:p>
            <w:pPr>
              <w:widowControl/>
              <w:spacing w:line="320" w:lineRule="exact"/>
              <w:jc w:val="center"/>
              <w:rPr>
                <w:rFonts w:hint="default" w:ascii="Times New Roman" w:hAnsi="Times New Roman" w:eastAsia="黑体" w:cs="Times New Roman"/>
                <w:b/>
                <w:sz w:val="24"/>
                <w:szCs w:val="24"/>
              </w:rPr>
            </w:pPr>
          </w:p>
        </w:tc>
        <w:tc>
          <w:tcPr>
            <w:tcW w:w="744" w:type="dxa"/>
            <w:vMerge w:val="continue"/>
            <w:tcBorders>
              <w:tl2br w:val="nil"/>
              <w:tr2bl w:val="nil"/>
            </w:tcBorders>
            <w:noWrap w:val="0"/>
            <w:vAlign w:val="center"/>
          </w:tcPr>
          <w:p>
            <w:pPr>
              <w:widowControl/>
              <w:spacing w:line="320" w:lineRule="exact"/>
              <w:jc w:val="center"/>
              <w:rPr>
                <w:rFonts w:hint="default" w:ascii="Times New Roman" w:hAnsi="Times New Roman" w:eastAsia="黑体" w:cs="Times New Roman"/>
                <w:b/>
                <w:sz w:val="24"/>
                <w:szCs w:val="24"/>
              </w:rPr>
            </w:pPr>
          </w:p>
        </w:tc>
        <w:tc>
          <w:tcPr>
            <w:tcW w:w="1078" w:type="dxa"/>
            <w:vMerge w:val="continue"/>
            <w:tcBorders>
              <w:tl2br w:val="nil"/>
              <w:tr2bl w:val="nil"/>
            </w:tcBorders>
            <w:noWrap w:val="0"/>
            <w:vAlign w:val="center"/>
          </w:tcPr>
          <w:p>
            <w:pPr>
              <w:widowControl/>
              <w:spacing w:line="320" w:lineRule="exact"/>
              <w:jc w:val="center"/>
              <w:rPr>
                <w:rFonts w:hint="default" w:ascii="Times New Roman" w:hAnsi="Times New Roman" w:eastAsia="黑体" w:cs="Times New Roman"/>
                <w:b/>
                <w:sz w:val="24"/>
                <w:szCs w:val="24"/>
              </w:rPr>
            </w:pPr>
          </w:p>
        </w:tc>
        <w:tc>
          <w:tcPr>
            <w:tcW w:w="814" w:type="dxa"/>
            <w:tcBorders>
              <w:tl2br w:val="nil"/>
              <w:tr2bl w:val="nil"/>
            </w:tcBorders>
            <w:noWrap w:val="0"/>
            <w:vAlign w:val="center"/>
          </w:tcPr>
          <w:p>
            <w:pPr>
              <w:widowControl/>
              <w:spacing w:line="320" w:lineRule="exact"/>
              <w:ind w:left="0" w:leftChars="0" w:firstLine="0" w:firstLineChars="0"/>
              <w:jc w:val="center"/>
              <w:rPr>
                <w:rFonts w:hint="default" w:ascii="Times New Roman" w:hAnsi="Times New Roman" w:eastAsia="黑体" w:cs="Times New Roman"/>
                <w:b w:val="0"/>
                <w:bCs/>
                <w:sz w:val="24"/>
                <w:szCs w:val="24"/>
                <w:lang w:val="en-US" w:eastAsia="zh-CN"/>
              </w:rPr>
            </w:pPr>
            <w:r>
              <w:rPr>
                <w:rFonts w:hint="default" w:ascii="Times New Roman" w:hAnsi="Times New Roman" w:eastAsia="黑体" w:cs="Times New Roman"/>
                <w:b w:val="0"/>
                <w:bCs/>
                <w:sz w:val="24"/>
                <w:szCs w:val="24"/>
              </w:rPr>
              <w:t>浓度</w:t>
            </w:r>
            <w:r>
              <w:rPr>
                <w:rFonts w:hint="default" w:ascii="Times New Roman" w:hAnsi="Times New Roman" w:eastAsia="黑体" w:cs="Times New Roman"/>
                <w:b w:val="0"/>
                <w:bCs/>
                <w:sz w:val="24"/>
                <w:szCs w:val="24"/>
                <w:lang w:val="en-US" w:eastAsia="zh-CN"/>
              </w:rPr>
              <w:t>(mg/m</w:t>
            </w:r>
            <w:r>
              <w:rPr>
                <w:rFonts w:hint="default" w:ascii="Times New Roman" w:hAnsi="Times New Roman" w:eastAsia="黑体" w:cs="Times New Roman"/>
                <w:b w:val="0"/>
                <w:bCs/>
                <w:sz w:val="24"/>
                <w:szCs w:val="24"/>
                <w:vertAlign w:val="superscript"/>
                <w:lang w:val="en-US" w:eastAsia="zh-CN"/>
              </w:rPr>
              <w:t>3</w:t>
            </w:r>
            <w:r>
              <w:rPr>
                <w:rFonts w:hint="default" w:ascii="Times New Roman" w:hAnsi="Times New Roman" w:eastAsia="黑体" w:cs="Times New Roman"/>
                <w:b w:val="0"/>
                <w:bCs/>
                <w:sz w:val="24"/>
                <w:szCs w:val="24"/>
                <w:lang w:val="en-US" w:eastAsia="zh-CN"/>
              </w:rPr>
              <w:t>)</w:t>
            </w:r>
          </w:p>
        </w:tc>
        <w:tc>
          <w:tcPr>
            <w:tcW w:w="536" w:type="dxa"/>
            <w:tcBorders>
              <w:tl2br w:val="nil"/>
              <w:tr2bl w:val="nil"/>
            </w:tcBorders>
            <w:noWrap w:val="0"/>
            <w:vAlign w:val="center"/>
          </w:tcPr>
          <w:p>
            <w:pPr>
              <w:widowControl/>
              <w:spacing w:line="320" w:lineRule="exact"/>
              <w:ind w:left="0" w:leftChars="0" w:firstLine="0" w:firstLineChars="0"/>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rPr>
              <w:t>超标倍数</w:t>
            </w:r>
          </w:p>
        </w:tc>
        <w:tc>
          <w:tcPr>
            <w:tcW w:w="900" w:type="dxa"/>
            <w:tcBorders>
              <w:tl2br w:val="nil"/>
              <w:tr2bl w:val="nil"/>
            </w:tcBorders>
            <w:noWrap w:val="0"/>
            <w:vAlign w:val="center"/>
          </w:tcPr>
          <w:p>
            <w:pPr>
              <w:widowControl/>
              <w:spacing w:line="320" w:lineRule="exact"/>
              <w:ind w:left="0" w:leftChars="0" w:firstLine="0" w:firstLineChars="0"/>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rPr>
              <w:t>浓度</w:t>
            </w:r>
            <w:r>
              <w:rPr>
                <w:rFonts w:hint="default" w:ascii="Times New Roman" w:hAnsi="Times New Roman" w:eastAsia="黑体" w:cs="Times New Roman"/>
                <w:b w:val="0"/>
                <w:bCs/>
                <w:sz w:val="24"/>
                <w:szCs w:val="24"/>
                <w:lang w:val="en-US" w:eastAsia="zh-CN"/>
              </w:rPr>
              <w:t>(mg/m</w:t>
            </w:r>
            <w:r>
              <w:rPr>
                <w:rFonts w:hint="default" w:ascii="Times New Roman" w:hAnsi="Times New Roman" w:eastAsia="黑体" w:cs="Times New Roman"/>
                <w:b w:val="0"/>
                <w:bCs/>
                <w:sz w:val="24"/>
                <w:szCs w:val="24"/>
                <w:vertAlign w:val="superscript"/>
                <w:lang w:val="en-US" w:eastAsia="zh-CN"/>
              </w:rPr>
              <w:t>3</w:t>
            </w:r>
            <w:r>
              <w:rPr>
                <w:rFonts w:hint="default" w:ascii="Times New Roman" w:hAnsi="Times New Roman" w:eastAsia="黑体" w:cs="Times New Roman"/>
                <w:b w:val="0"/>
                <w:bCs/>
                <w:sz w:val="24"/>
                <w:szCs w:val="24"/>
                <w:lang w:val="en-US" w:eastAsia="zh-CN"/>
              </w:rPr>
              <w:t>)</w:t>
            </w:r>
          </w:p>
        </w:tc>
        <w:tc>
          <w:tcPr>
            <w:tcW w:w="535" w:type="dxa"/>
            <w:tcBorders>
              <w:tl2br w:val="nil"/>
              <w:tr2bl w:val="nil"/>
            </w:tcBorders>
            <w:noWrap w:val="0"/>
            <w:vAlign w:val="center"/>
          </w:tcPr>
          <w:p>
            <w:pPr>
              <w:widowControl/>
              <w:spacing w:line="320" w:lineRule="exact"/>
              <w:ind w:left="0" w:leftChars="0" w:firstLine="0" w:firstLineChars="0"/>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rPr>
              <w:t>超标倍数</w:t>
            </w:r>
          </w:p>
        </w:tc>
        <w:tc>
          <w:tcPr>
            <w:tcW w:w="329" w:type="dxa"/>
            <w:tcBorders>
              <w:tl2br w:val="nil"/>
              <w:tr2bl w:val="nil"/>
            </w:tcBorders>
            <w:noWrap w:val="0"/>
            <w:vAlign w:val="center"/>
          </w:tcPr>
          <w:p>
            <w:pPr>
              <w:widowControl/>
              <w:spacing w:line="320" w:lineRule="exact"/>
              <w:ind w:left="0" w:leftChars="0" w:firstLine="0" w:firstLineChars="0"/>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rPr>
              <w:t>项目</w:t>
            </w:r>
          </w:p>
        </w:tc>
        <w:tc>
          <w:tcPr>
            <w:tcW w:w="871" w:type="dxa"/>
            <w:tcBorders>
              <w:tl2br w:val="nil"/>
              <w:tr2bl w:val="nil"/>
            </w:tcBorders>
            <w:noWrap w:val="0"/>
            <w:vAlign w:val="center"/>
          </w:tcPr>
          <w:p>
            <w:pPr>
              <w:widowControl/>
              <w:spacing w:line="320" w:lineRule="exact"/>
              <w:ind w:left="0" w:leftChars="0" w:firstLine="0" w:firstLineChars="0"/>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rPr>
              <w:t>浓度</w:t>
            </w:r>
            <w:r>
              <w:rPr>
                <w:rFonts w:hint="default" w:ascii="Times New Roman" w:hAnsi="Times New Roman" w:eastAsia="黑体" w:cs="Times New Roman"/>
                <w:b w:val="0"/>
                <w:bCs/>
                <w:sz w:val="24"/>
                <w:szCs w:val="24"/>
                <w:lang w:val="en-US" w:eastAsia="zh-CN"/>
              </w:rPr>
              <w:t>(mg/L)</w:t>
            </w:r>
          </w:p>
        </w:tc>
        <w:tc>
          <w:tcPr>
            <w:tcW w:w="488" w:type="dxa"/>
            <w:tcBorders>
              <w:tl2br w:val="nil"/>
              <w:tr2bl w:val="nil"/>
            </w:tcBorders>
            <w:noWrap w:val="0"/>
            <w:vAlign w:val="center"/>
          </w:tcPr>
          <w:p>
            <w:pPr>
              <w:widowControl/>
              <w:spacing w:line="320" w:lineRule="exact"/>
              <w:ind w:left="0" w:leftChars="0" w:firstLine="0" w:firstLineChars="0"/>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rPr>
              <w:t>超标倍数</w:t>
            </w:r>
          </w:p>
        </w:tc>
        <w:tc>
          <w:tcPr>
            <w:tcW w:w="240" w:type="dxa"/>
            <w:vMerge w:val="continue"/>
            <w:tcBorders>
              <w:tl2br w:val="nil"/>
              <w:tr2bl w:val="nil"/>
            </w:tcBorders>
            <w:noWrap w:val="0"/>
            <w:vAlign w:val="center"/>
          </w:tcPr>
          <w:p>
            <w:pPr>
              <w:jc w:val="center"/>
              <w:rPr>
                <w:rFonts w:hint="default" w:ascii="Times New Roman" w:hAnsi="Times New Roman" w:eastAsia="黑体" w:cs="Times New Roman"/>
                <w:sz w:val="24"/>
                <w:szCs w:val="24"/>
              </w:rPr>
            </w:pPr>
          </w:p>
        </w:tc>
      </w:tr>
      <w:tr>
        <w:tblPrEx>
          <w:tblBorders>
            <w:top w:val="single" w:color="000000" w:sz="6" w:space="0"/>
            <w:left w:val="none" w:color="auto" w:sz="0" w:space="0"/>
            <w:bottom w:val="single" w:color="000000" w:sz="6" w:space="0"/>
            <w:right w:val="none" w:color="auto" w:sz="0" w:space="0"/>
            <w:insideH w:val="single" w:color="000000" w:sz="2" w:space="0"/>
            <w:insideV w:val="single" w:color="000000" w:sz="2" w:space="0"/>
          </w:tblBorders>
          <w:tblCellMar>
            <w:top w:w="0" w:type="dxa"/>
            <w:left w:w="0" w:type="dxa"/>
            <w:bottom w:w="0" w:type="dxa"/>
            <w:right w:w="0" w:type="dxa"/>
          </w:tblCellMar>
        </w:tblPrEx>
        <w:trPr>
          <w:jc w:val="center"/>
        </w:trPr>
        <w:tc>
          <w:tcPr>
            <w:tcW w:w="423" w:type="dxa"/>
            <w:tcBorders>
              <w:tl2br w:val="nil"/>
              <w:tr2bl w:val="nil"/>
            </w:tcBorders>
            <w:noWrap w:val="0"/>
            <w:vAlign w:val="center"/>
          </w:tcPr>
          <w:p>
            <w:pPr>
              <w:widowControl/>
              <w:spacing w:line="320" w:lineRule="exact"/>
              <w:ind w:left="0" w:leftChars="0" w:firstLine="0" w:firstLineChars="0"/>
              <w:jc w:val="center"/>
              <w:rPr>
                <w:rFonts w:hint="default" w:ascii="Times New Roman" w:hAnsi="Times New Roman" w:eastAsia="仿宋" w:cs="Times New Roman"/>
                <w:b w:val="0"/>
                <w:bCs/>
                <w:sz w:val="21"/>
                <w:szCs w:val="21"/>
                <w:lang w:val="en-US" w:eastAsia="zh-CN"/>
              </w:rPr>
            </w:pPr>
            <w:r>
              <w:rPr>
                <w:rFonts w:hint="default" w:ascii="Times New Roman" w:hAnsi="Times New Roman" w:eastAsia="仿宋" w:cs="Times New Roman"/>
                <w:b w:val="0"/>
                <w:bCs/>
                <w:sz w:val="21"/>
                <w:szCs w:val="21"/>
                <w:lang w:val="en-US" w:eastAsia="zh-CN"/>
              </w:rPr>
              <w:t>1</w:t>
            </w:r>
          </w:p>
        </w:tc>
        <w:tc>
          <w:tcPr>
            <w:tcW w:w="535" w:type="dxa"/>
            <w:vMerge w:val="restart"/>
            <w:tcBorders>
              <w:tl2br w:val="nil"/>
              <w:tr2bl w:val="nil"/>
            </w:tcBorders>
            <w:noWrap w:val="0"/>
            <w:vAlign w:val="center"/>
          </w:tcPr>
          <w:p>
            <w:pPr>
              <w:widowControl/>
              <w:spacing w:line="320" w:lineRule="exact"/>
              <w:ind w:left="0" w:leftChars="0" w:firstLine="0" w:firstLineChars="0"/>
              <w:jc w:val="center"/>
              <w:rPr>
                <w:rFonts w:hint="default" w:ascii="Times New Roman" w:hAnsi="Times New Roman" w:eastAsia="仿宋" w:cs="Times New Roman"/>
                <w:b w:val="0"/>
                <w:bCs/>
                <w:sz w:val="21"/>
                <w:szCs w:val="21"/>
                <w:lang w:eastAsia="zh-CN"/>
              </w:rPr>
            </w:pPr>
            <w:r>
              <w:rPr>
                <w:rFonts w:hint="default" w:ascii="Times New Roman" w:hAnsi="Times New Roman" w:eastAsia="仿宋" w:cs="Times New Roman"/>
                <w:b w:val="0"/>
                <w:bCs/>
                <w:sz w:val="21"/>
                <w:szCs w:val="21"/>
                <w:lang w:val="en-US" w:eastAsia="zh-CN"/>
              </w:rPr>
              <w:t>长春</w:t>
            </w:r>
          </w:p>
        </w:tc>
        <w:tc>
          <w:tcPr>
            <w:tcW w:w="1586" w:type="dxa"/>
            <w:tcBorders>
              <w:tl2br w:val="nil"/>
              <w:tr2bl w:val="nil"/>
            </w:tcBorders>
            <w:noWrap w:val="0"/>
            <w:vAlign w:val="center"/>
          </w:tcPr>
          <w:p>
            <w:pPr>
              <w:widowControl/>
              <w:adjustRightInd w:val="0"/>
              <w:snapToGrid w:val="0"/>
              <w:spacing w:before="156" w:beforeLines="50" w:after="156" w:afterLines="50"/>
              <w:jc w:val="center"/>
              <w:rPr>
                <w:rFonts w:hint="default" w:ascii="Times New Roman" w:hAnsi="Times New Roman" w:eastAsia="仿宋" w:cs="Times New Roman"/>
                <w:b/>
                <w:color w:val="FF0000"/>
                <w:sz w:val="21"/>
                <w:szCs w:val="21"/>
                <w:highlight w:val="none"/>
                <w:lang w:val="en-US" w:eastAsia="zh-CN"/>
              </w:rPr>
            </w:pPr>
            <w:r>
              <w:rPr>
                <w:rFonts w:hint="default" w:ascii="Times New Roman" w:hAnsi="Times New Roman" w:eastAsia="仿宋" w:cs="Times New Roman"/>
                <w:b w:val="0"/>
                <w:bCs/>
                <w:sz w:val="21"/>
                <w:szCs w:val="21"/>
                <w:lang w:val="en-US" w:eastAsia="zh-CN"/>
              </w:rPr>
              <w:t>长春市合心供热有限公司</w:t>
            </w:r>
          </w:p>
        </w:tc>
        <w:tc>
          <w:tcPr>
            <w:tcW w:w="744" w:type="dxa"/>
            <w:tcBorders>
              <w:tl2br w:val="nil"/>
              <w:tr2bl w:val="nil"/>
            </w:tcBorders>
            <w:noWrap w:val="0"/>
            <w:vAlign w:val="center"/>
          </w:tcPr>
          <w:p>
            <w:pPr>
              <w:widowControl/>
              <w:spacing w:line="320" w:lineRule="exact"/>
              <w:ind w:left="0" w:leftChars="0" w:firstLine="0" w:firstLineChars="0"/>
              <w:jc w:val="center"/>
              <w:rPr>
                <w:rFonts w:hint="default" w:ascii="Times New Roman" w:hAnsi="Times New Roman" w:eastAsia="仿宋" w:cs="Times New Roman"/>
                <w:b w:val="0"/>
                <w:bCs/>
                <w:sz w:val="21"/>
                <w:szCs w:val="21"/>
                <w:lang w:val="en-US" w:eastAsia="zh-CN"/>
              </w:rPr>
            </w:pPr>
            <w:r>
              <w:rPr>
                <w:rFonts w:hint="default" w:ascii="Times New Roman" w:hAnsi="Times New Roman" w:eastAsia="仿宋" w:cs="Times New Roman"/>
                <w:b w:val="0"/>
                <w:bCs/>
                <w:sz w:val="21"/>
                <w:szCs w:val="21"/>
                <w:lang w:val="en-US" w:eastAsia="zh-CN"/>
              </w:rPr>
              <w:t>除尘器后</w:t>
            </w:r>
          </w:p>
        </w:tc>
        <w:tc>
          <w:tcPr>
            <w:tcW w:w="1078" w:type="dxa"/>
            <w:tcBorders>
              <w:tl2br w:val="nil"/>
              <w:tr2bl w:val="nil"/>
            </w:tcBorders>
            <w:noWrap w:val="0"/>
            <w:vAlign w:val="center"/>
          </w:tcPr>
          <w:p>
            <w:pPr>
              <w:widowControl/>
              <w:spacing w:line="320" w:lineRule="exact"/>
              <w:ind w:left="0" w:leftChars="0" w:firstLine="0" w:firstLineChars="0"/>
              <w:jc w:val="center"/>
              <w:rPr>
                <w:rFonts w:hint="default" w:ascii="Times New Roman" w:hAnsi="Times New Roman" w:eastAsia="仿宋" w:cs="Times New Roman"/>
                <w:b w:val="0"/>
                <w:bCs/>
                <w:sz w:val="21"/>
                <w:szCs w:val="21"/>
                <w:lang w:val="en-US" w:eastAsia="zh-CN"/>
              </w:rPr>
            </w:pPr>
            <w:r>
              <w:rPr>
                <w:rFonts w:hint="default" w:ascii="Times New Roman" w:hAnsi="Times New Roman" w:eastAsia="仿宋" w:cs="Times New Roman"/>
                <w:b w:val="0"/>
                <w:bCs/>
                <w:sz w:val="21"/>
                <w:szCs w:val="21"/>
                <w:lang w:val="en-US" w:eastAsia="zh-CN"/>
              </w:rPr>
              <w:t>2022.10.24</w:t>
            </w:r>
          </w:p>
        </w:tc>
        <w:tc>
          <w:tcPr>
            <w:tcW w:w="814" w:type="dxa"/>
            <w:tcBorders>
              <w:tl2br w:val="nil"/>
              <w:tr2bl w:val="nil"/>
            </w:tcBorders>
            <w:noWrap w:val="0"/>
            <w:vAlign w:val="center"/>
          </w:tcPr>
          <w:p>
            <w:pPr>
              <w:widowControl/>
              <w:spacing w:line="320" w:lineRule="exact"/>
              <w:ind w:left="0" w:leftChars="0" w:firstLine="0" w:firstLineChars="0"/>
              <w:jc w:val="center"/>
              <w:rPr>
                <w:rFonts w:hint="default" w:ascii="Times New Roman" w:hAnsi="Times New Roman" w:eastAsia="仿宋" w:cs="Times New Roman"/>
                <w:b w:val="0"/>
                <w:bCs/>
                <w:sz w:val="21"/>
                <w:szCs w:val="21"/>
              </w:rPr>
            </w:pPr>
          </w:p>
        </w:tc>
        <w:tc>
          <w:tcPr>
            <w:tcW w:w="536" w:type="dxa"/>
            <w:tcBorders>
              <w:tl2br w:val="nil"/>
              <w:tr2bl w:val="nil"/>
            </w:tcBorders>
            <w:noWrap w:val="0"/>
            <w:vAlign w:val="center"/>
          </w:tcPr>
          <w:p>
            <w:pPr>
              <w:widowControl/>
              <w:spacing w:line="320" w:lineRule="exact"/>
              <w:ind w:left="0" w:leftChars="0" w:firstLine="0" w:firstLineChars="0"/>
              <w:jc w:val="center"/>
              <w:rPr>
                <w:rFonts w:hint="default" w:ascii="Times New Roman" w:hAnsi="Times New Roman" w:eastAsia="仿宋" w:cs="Times New Roman"/>
                <w:b w:val="0"/>
                <w:bCs/>
                <w:sz w:val="21"/>
                <w:szCs w:val="21"/>
              </w:rPr>
            </w:pPr>
          </w:p>
        </w:tc>
        <w:tc>
          <w:tcPr>
            <w:tcW w:w="900" w:type="dxa"/>
            <w:tcBorders>
              <w:tl2br w:val="nil"/>
              <w:tr2bl w:val="nil"/>
            </w:tcBorders>
            <w:noWrap w:val="0"/>
            <w:vAlign w:val="center"/>
          </w:tcPr>
          <w:p>
            <w:pPr>
              <w:widowControl/>
              <w:spacing w:line="320" w:lineRule="exact"/>
              <w:ind w:left="0" w:leftChars="0" w:firstLine="0" w:firstLineChars="0"/>
              <w:jc w:val="center"/>
              <w:rPr>
                <w:rFonts w:hint="default" w:ascii="Times New Roman" w:hAnsi="Times New Roman" w:eastAsia="仿宋" w:cs="Times New Roman"/>
                <w:b w:val="0"/>
                <w:bCs/>
                <w:sz w:val="21"/>
                <w:szCs w:val="21"/>
                <w:lang w:val="en-US" w:eastAsia="zh-CN"/>
              </w:rPr>
            </w:pPr>
            <w:r>
              <w:rPr>
                <w:rFonts w:hint="default" w:ascii="Times New Roman" w:hAnsi="Times New Roman" w:eastAsia="仿宋" w:cs="Times New Roman"/>
                <w:b w:val="0"/>
                <w:bCs/>
                <w:sz w:val="21"/>
                <w:szCs w:val="21"/>
                <w:lang w:val="en-US" w:eastAsia="zh-CN"/>
              </w:rPr>
              <w:t>314.6</w:t>
            </w:r>
          </w:p>
        </w:tc>
        <w:tc>
          <w:tcPr>
            <w:tcW w:w="535" w:type="dxa"/>
            <w:tcBorders>
              <w:tl2br w:val="nil"/>
              <w:tr2bl w:val="nil"/>
            </w:tcBorders>
            <w:noWrap w:val="0"/>
            <w:vAlign w:val="center"/>
          </w:tcPr>
          <w:p>
            <w:pPr>
              <w:widowControl/>
              <w:spacing w:line="320" w:lineRule="exact"/>
              <w:ind w:left="0" w:leftChars="0" w:firstLine="0" w:firstLineChars="0"/>
              <w:jc w:val="center"/>
              <w:rPr>
                <w:rFonts w:hint="default" w:ascii="Times New Roman" w:hAnsi="Times New Roman" w:eastAsia="仿宋" w:cs="Times New Roman"/>
                <w:b w:val="0"/>
                <w:bCs/>
                <w:sz w:val="21"/>
                <w:szCs w:val="21"/>
                <w:lang w:val="en-US" w:eastAsia="zh-CN"/>
              </w:rPr>
            </w:pPr>
            <w:r>
              <w:rPr>
                <w:rFonts w:hint="default" w:ascii="Times New Roman" w:hAnsi="Times New Roman" w:eastAsia="仿宋" w:cs="Times New Roman"/>
                <w:b w:val="0"/>
                <w:bCs/>
                <w:sz w:val="21"/>
                <w:szCs w:val="21"/>
                <w:lang w:val="en-US" w:eastAsia="zh-CN"/>
              </w:rPr>
              <w:t>0.05</w:t>
            </w:r>
          </w:p>
        </w:tc>
        <w:tc>
          <w:tcPr>
            <w:tcW w:w="329" w:type="dxa"/>
            <w:tcBorders>
              <w:tl2br w:val="nil"/>
              <w:tr2bl w:val="nil"/>
            </w:tcBorders>
            <w:noWrap w:val="0"/>
            <w:vAlign w:val="center"/>
          </w:tcPr>
          <w:p>
            <w:pPr>
              <w:widowControl/>
              <w:spacing w:line="320" w:lineRule="exact"/>
              <w:ind w:left="0" w:leftChars="0" w:firstLine="0" w:firstLineChars="0"/>
              <w:jc w:val="center"/>
              <w:rPr>
                <w:rFonts w:hint="default" w:ascii="Times New Roman" w:hAnsi="Times New Roman" w:eastAsia="仿宋" w:cs="Times New Roman"/>
                <w:b w:val="0"/>
                <w:bCs/>
                <w:sz w:val="21"/>
                <w:szCs w:val="21"/>
                <w:lang w:eastAsia="zh-CN"/>
              </w:rPr>
            </w:pPr>
          </w:p>
        </w:tc>
        <w:tc>
          <w:tcPr>
            <w:tcW w:w="871" w:type="dxa"/>
            <w:tcBorders>
              <w:tl2br w:val="nil"/>
              <w:tr2bl w:val="nil"/>
            </w:tcBorders>
            <w:noWrap w:val="0"/>
            <w:vAlign w:val="center"/>
          </w:tcPr>
          <w:p>
            <w:pPr>
              <w:widowControl/>
              <w:tabs>
                <w:tab w:val="left" w:pos="263"/>
              </w:tabs>
              <w:spacing w:line="320" w:lineRule="exact"/>
              <w:ind w:left="0" w:leftChars="0" w:firstLine="0" w:firstLineChars="0"/>
              <w:jc w:val="center"/>
              <w:rPr>
                <w:rFonts w:hint="default" w:ascii="Times New Roman" w:hAnsi="Times New Roman" w:eastAsia="仿宋" w:cs="Times New Roman"/>
                <w:b w:val="0"/>
                <w:bCs/>
                <w:sz w:val="21"/>
                <w:szCs w:val="21"/>
                <w:lang w:val="en-US" w:eastAsia="zh-CN"/>
              </w:rPr>
            </w:pPr>
          </w:p>
        </w:tc>
        <w:tc>
          <w:tcPr>
            <w:tcW w:w="488" w:type="dxa"/>
            <w:tcBorders>
              <w:tl2br w:val="nil"/>
              <w:tr2bl w:val="nil"/>
            </w:tcBorders>
            <w:noWrap w:val="0"/>
            <w:vAlign w:val="center"/>
          </w:tcPr>
          <w:p>
            <w:pPr>
              <w:widowControl/>
              <w:spacing w:line="320" w:lineRule="exact"/>
              <w:ind w:left="0" w:leftChars="0" w:firstLine="0" w:firstLineChars="0"/>
              <w:jc w:val="center"/>
              <w:rPr>
                <w:rFonts w:hint="default" w:ascii="Times New Roman" w:hAnsi="Times New Roman" w:eastAsia="仿宋" w:cs="Times New Roman"/>
                <w:b w:val="0"/>
                <w:bCs/>
                <w:sz w:val="21"/>
                <w:szCs w:val="21"/>
                <w:lang w:val="en-US" w:eastAsia="zh-CN"/>
              </w:rPr>
            </w:pPr>
          </w:p>
        </w:tc>
        <w:tc>
          <w:tcPr>
            <w:tcW w:w="240" w:type="dxa"/>
            <w:tcBorders>
              <w:tl2br w:val="nil"/>
              <w:tr2bl w:val="nil"/>
            </w:tcBorders>
            <w:noWrap w:val="0"/>
            <w:vAlign w:val="center"/>
          </w:tcPr>
          <w:p>
            <w:pPr>
              <w:jc w:val="center"/>
              <w:rPr>
                <w:rFonts w:hint="default" w:ascii="Times New Roman" w:hAnsi="Times New Roman" w:eastAsia="仿宋" w:cs="Times New Roman"/>
                <w:b w:val="0"/>
                <w:bCs/>
                <w:sz w:val="21"/>
                <w:szCs w:val="21"/>
              </w:rPr>
            </w:pPr>
          </w:p>
        </w:tc>
      </w:tr>
      <w:tr>
        <w:tblPrEx>
          <w:tblBorders>
            <w:top w:val="single" w:color="000000" w:sz="6" w:space="0"/>
            <w:left w:val="none" w:color="auto" w:sz="0" w:space="0"/>
            <w:bottom w:val="single" w:color="000000" w:sz="6"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841" w:hRule="atLeast"/>
          <w:jc w:val="center"/>
        </w:trPr>
        <w:tc>
          <w:tcPr>
            <w:tcW w:w="423" w:type="dxa"/>
            <w:tcBorders>
              <w:tl2br w:val="nil"/>
              <w:tr2bl w:val="nil"/>
            </w:tcBorders>
            <w:noWrap w:val="0"/>
            <w:vAlign w:val="center"/>
          </w:tcPr>
          <w:p>
            <w:pPr>
              <w:widowControl/>
              <w:spacing w:line="320" w:lineRule="exact"/>
              <w:ind w:left="0" w:leftChars="0" w:firstLine="0" w:firstLineChars="0"/>
              <w:jc w:val="center"/>
              <w:rPr>
                <w:rFonts w:hint="default" w:ascii="Times New Roman" w:hAnsi="Times New Roman" w:eastAsia="仿宋" w:cs="Times New Roman"/>
                <w:b w:val="0"/>
                <w:bCs/>
                <w:sz w:val="21"/>
                <w:szCs w:val="21"/>
                <w:lang w:val="en-US" w:eastAsia="zh-CN"/>
              </w:rPr>
            </w:pPr>
            <w:r>
              <w:rPr>
                <w:rFonts w:hint="default" w:ascii="Times New Roman" w:hAnsi="Times New Roman" w:eastAsia="仿宋" w:cs="Times New Roman"/>
                <w:b w:val="0"/>
                <w:bCs/>
                <w:sz w:val="21"/>
                <w:szCs w:val="21"/>
                <w:lang w:val="en-US" w:eastAsia="zh-CN"/>
              </w:rPr>
              <w:t>2</w:t>
            </w:r>
          </w:p>
        </w:tc>
        <w:tc>
          <w:tcPr>
            <w:tcW w:w="535" w:type="dxa"/>
            <w:vMerge w:val="continue"/>
            <w:tcBorders>
              <w:tl2br w:val="nil"/>
              <w:tr2bl w:val="nil"/>
            </w:tcBorders>
            <w:noWrap w:val="0"/>
            <w:vAlign w:val="center"/>
          </w:tcPr>
          <w:p>
            <w:pPr>
              <w:widowControl/>
              <w:spacing w:line="320" w:lineRule="exact"/>
              <w:jc w:val="center"/>
              <w:rPr>
                <w:rFonts w:hint="default" w:ascii="Times New Roman" w:hAnsi="Times New Roman" w:eastAsia="仿宋" w:cs="Times New Roman"/>
                <w:b w:val="0"/>
                <w:bCs/>
                <w:sz w:val="21"/>
                <w:szCs w:val="21"/>
              </w:rPr>
            </w:pPr>
          </w:p>
        </w:tc>
        <w:tc>
          <w:tcPr>
            <w:tcW w:w="1586" w:type="dxa"/>
            <w:tcBorders>
              <w:tl2br w:val="nil"/>
              <w:tr2bl w:val="nil"/>
            </w:tcBorders>
            <w:noWrap w:val="0"/>
            <w:vAlign w:val="center"/>
          </w:tcPr>
          <w:p>
            <w:pPr>
              <w:widowControl/>
              <w:spacing w:line="320" w:lineRule="exact"/>
              <w:ind w:left="0" w:leftChars="0" w:firstLine="0" w:firstLineChars="0"/>
              <w:jc w:val="center"/>
              <w:rPr>
                <w:rFonts w:hint="default" w:ascii="Times New Roman" w:hAnsi="Times New Roman" w:eastAsia="仿宋" w:cs="Times New Roman"/>
                <w:b w:val="0"/>
                <w:bCs/>
                <w:sz w:val="21"/>
                <w:szCs w:val="21"/>
                <w:lang w:val="en-US" w:eastAsia="zh-CN"/>
              </w:rPr>
            </w:pPr>
            <w:r>
              <w:rPr>
                <w:rFonts w:hint="default" w:ascii="Times New Roman" w:hAnsi="Times New Roman" w:eastAsia="仿宋" w:cs="Times New Roman"/>
                <w:b w:val="0"/>
                <w:bCs/>
                <w:sz w:val="21"/>
                <w:szCs w:val="21"/>
                <w:lang w:val="en-US" w:eastAsia="zh-CN"/>
              </w:rPr>
              <w:t>吉林炎宏热力有限公司</w:t>
            </w:r>
          </w:p>
        </w:tc>
        <w:tc>
          <w:tcPr>
            <w:tcW w:w="744" w:type="dxa"/>
            <w:tcBorders>
              <w:tl2br w:val="nil"/>
              <w:tr2bl w:val="nil"/>
            </w:tcBorders>
            <w:noWrap w:val="0"/>
            <w:vAlign w:val="center"/>
          </w:tcPr>
          <w:p>
            <w:pPr>
              <w:widowControl/>
              <w:spacing w:line="320" w:lineRule="exact"/>
              <w:ind w:left="0" w:leftChars="0" w:firstLine="0" w:firstLineChars="0"/>
              <w:jc w:val="center"/>
              <w:rPr>
                <w:rFonts w:hint="default" w:ascii="Times New Roman" w:hAnsi="Times New Roman" w:eastAsia="仿宋" w:cs="Times New Roman"/>
                <w:b w:val="0"/>
                <w:bCs/>
                <w:sz w:val="21"/>
                <w:szCs w:val="21"/>
                <w:lang w:val="en-US" w:eastAsia="zh-CN"/>
              </w:rPr>
            </w:pPr>
            <w:r>
              <w:rPr>
                <w:rFonts w:hint="default" w:ascii="Times New Roman" w:hAnsi="Times New Roman" w:eastAsia="仿宋" w:cs="Times New Roman"/>
                <w:b w:val="0"/>
                <w:bCs/>
                <w:sz w:val="21"/>
                <w:szCs w:val="21"/>
                <w:lang w:val="en-US" w:eastAsia="zh-CN"/>
              </w:rPr>
              <w:t>除尘器后</w:t>
            </w:r>
          </w:p>
        </w:tc>
        <w:tc>
          <w:tcPr>
            <w:tcW w:w="1078" w:type="dxa"/>
            <w:tcBorders>
              <w:tl2br w:val="nil"/>
              <w:tr2bl w:val="nil"/>
            </w:tcBorders>
            <w:noWrap w:val="0"/>
            <w:vAlign w:val="center"/>
          </w:tcPr>
          <w:p>
            <w:pPr>
              <w:widowControl/>
              <w:spacing w:line="320" w:lineRule="exact"/>
              <w:ind w:left="0" w:leftChars="0" w:firstLine="0" w:firstLineChars="0"/>
              <w:jc w:val="center"/>
              <w:rPr>
                <w:rFonts w:hint="default" w:ascii="Times New Roman" w:hAnsi="Times New Roman" w:eastAsia="仿宋" w:cs="Times New Roman"/>
                <w:b w:val="0"/>
                <w:bCs/>
                <w:sz w:val="21"/>
                <w:szCs w:val="21"/>
                <w:lang w:val="en-US" w:eastAsia="zh-CN"/>
              </w:rPr>
            </w:pPr>
            <w:r>
              <w:rPr>
                <w:rFonts w:hint="default" w:ascii="Times New Roman" w:hAnsi="Times New Roman" w:eastAsia="仿宋" w:cs="Times New Roman"/>
                <w:b w:val="0"/>
                <w:bCs/>
                <w:sz w:val="21"/>
                <w:szCs w:val="21"/>
                <w:lang w:val="en-US" w:eastAsia="zh-CN"/>
              </w:rPr>
              <w:t>2022.10.25</w:t>
            </w:r>
          </w:p>
        </w:tc>
        <w:tc>
          <w:tcPr>
            <w:tcW w:w="814" w:type="dxa"/>
            <w:tcBorders>
              <w:tl2br w:val="nil"/>
              <w:tr2bl w:val="nil"/>
            </w:tcBorders>
            <w:noWrap w:val="0"/>
            <w:vAlign w:val="center"/>
          </w:tcPr>
          <w:p>
            <w:pPr>
              <w:widowControl/>
              <w:spacing w:line="320" w:lineRule="exact"/>
              <w:ind w:left="0" w:leftChars="0" w:firstLine="0" w:firstLineChars="0"/>
              <w:jc w:val="center"/>
              <w:rPr>
                <w:rFonts w:hint="default" w:ascii="Times New Roman" w:hAnsi="Times New Roman" w:eastAsia="仿宋" w:cs="Times New Roman"/>
                <w:b w:val="0"/>
                <w:bCs/>
                <w:sz w:val="21"/>
                <w:szCs w:val="21"/>
              </w:rPr>
            </w:pPr>
          </w:p>
        </w:tc>
        <w:tc>
          <w:tcPr>
            <w:tcW w:w="536" w:type="dxa"/>
            <w:tcBorders>
              <w:tl2br w:val="nil"/>
              <w:tr2bl w:val="nil"/>
            </w:tcBorders>
            <w:noWrap w:val="0"/>
            <w:vAlign w:val="center"/>
          </w:tcPr>
          <w:p>
            <w:pPr>
              <w:widowControl/>
              <w:spacing w:line="320" w:lineRule="exact"/>
              <w:ind w:left="0" w:leftChars="0" w:firstLine="0" w:firstLineChars="0"/>
              <w:jc w:val="center"/>
              <w:rPr>
                <w:rFonts w:hint="default" w:ascii="Times New Roman" w:hAnsi="Times New Roman" w:eastAsia="仿宋" w:cs="Times New Roman"/>
                <w:b w:val="0"/>
                <w:bCs/>
                <w:sz w:val="21"/>
                <w:szCs w:val="21"/>
              </w:rPr>
            </w:pPr>
          </w:p>
        </w:tc>
        <w:tc>
          <w:tcPr>
            <w:tcW w:w="900" w:type="dxa"/>
            <w:tcBorders>
              <w:tl2br w:val="nil"/>
              <w:tr2bl w:val="nil"/>
            </w:tcBorders>
            <w:noWrap w:val="0"/>
            <w:vAlign w:val="center"/>
          </w:tcPr>
          <w:p>
            <w:pPr>
              <w:widowControl/>
              <w:spacing w:line="320" w:lineRule="exact"/>
              <w:ind w:left="0" w:leftChars="0" w:firstLine="0" w:firstLineChars="0"/>
              <w:jc w:val="center"/>
              <w:rPr>
                <w:rFonts w:hint="default" w:ascii="Times New Roman" w:hAnsi="Times New Roman" w:eastAsia="仿宋" w:cs="Times New Roman"/>
                <w:b w:val="0"/>
                <w:bCs/>
                <w:sz w:val="21"/>
                <w:szCs w:val="21"/>
                <w:lang w:val="en-US" w:eastAsia="zh-CN"/>
              </w:rPr>
            </w:pPr>
          </w:p>
        </w:tc>
        <w:tc>
          <w:tcPr>
            <w:tcW w:w="535" w:type="dxa"/>
            <w:tcBorders>
              <w:tl2br w:val="nil"/>
              <w:tr2bl w:val="nil"/>
            </w:tcBorders>
            <w:noWrap w:val="0"/>
            <w:vAlign w:val="center"/>
          </w:tcPr>
          <w:p>
            <w:pPr>
              <w:widowControl/>
              <w:spacing w:line="320" w:lineRule="exact"/>
              <w:ind w:left="0" w:leftChars="0" w:firstLine="0" w:firstLineChars="0"/>
              <w:jc w:val="center"/>
              <w:rPr>
                <w:rFonts w:hint="default" w:ascii="Times New Roman" w:hAnsi="Times New Roman" w:eastAsia="仿宋" w:cs="Times New Roman"/>
                <w:b w:val="0"/>
                <w:bCs/>
                <w:sz w:val="21"/>
                <w:szCs w:val="21"/>
                <w:lang w:val="en-US" w:eastAsia="zh-CN"/>
              </w:rPr>
            </w:pPr>
          </w:p>
        </w:tc>
        <w:tc>
          <w:tcPr>
            <w:tcW w:w="329" w:type="dxa"/>
            <w:tcBorders>
              <w:tl2br w:val="nil"/>
              <w:tr2bl w:val="nil"/>
            </w:tcBorders>
            <w:noWrap w:val="0"/>
            <w:vAlign w:val="center"/>
          </w:tcPr>
          <w:p>
            <w:pPr>
              <w:widowControl/>
              <w:spacing w:line="320" w:lineRule="exact"/>
              <w:ind w:left="0" w:leftChars="0" w:firstLine="0" w:firstLineChars="0"/>
              <w:jc w:val="center"/>
              <w:rPr>
                <w:rFonts w:hint="default" w:ascii="Times New Roman" w:hAnsi="Times New Roman" w:eastAsia="仿宋" w:cs="Times New Roman"/>
                <w:b w:val="0"/>
                <w:bCs/>
                <w:sz w:val="21"/>
                <w:szCs w:val="21"/>
                <w:lang w:val="en-US" w:eastAsia="zh-CN"/>
              </w:rPr>
            </w:pPr>
            <w:r>
              <w:rPr>
                <w:rFonts w:hint="default" w:ascii="Times New Roman" w:hAnsi="Times New Roman" w:eastAsia="仿宋" w:cs="Times New Roman"/>
                <w:b w:val="0"/>
                <w:bCs/>
                <w:sz w:val="21"/>
                <w:szCs w:val="21"/>
                <w:lang w:val="en-US" w:eastAsia="zh-CN"/>
              </w:rPr>
              <w:t>烟尘</w:t>
            </w:r>
          </w:p>
        </w:tc>
        <w:tc>
          <w:tcPr>
            <w:tcW w:w="871" w:type="dxa"/>
            <w:tcBorders>
              <w:tl2br w:val="nil"/>
              <w:tr2bl w:val="nil"/>
            </w:tcBorders>
            <w:noWrap w:val="0"/>
            <w:vAlign w:val="center"/>
          </w:tcPr>
          <w:p>
            <w:pPr>
              <w:widowControl/>
              <w:spacing w:line="320" w:lineRule="exact"/>
              <w:ind w:left="0" w:leftChars="0" w:firstLine="0" w:firstLineChars="0"/>
              <w:jc w:val="center"/>
              <w:rPr>
                <w:rFonts w:hint="default" w:ascii="Times New Roman" w:hAnsi="Times New Roman" w:eastAsia="仿宋" w:cs="Times New Roman"/>
                <w:b w:val="0"/>
                <w:bCs/>
                <w:kern w:val="2"/>
                <w:sz w:val="21"/>
                <w:szCs w:val="21"/>
                <w:lang w:val="en-US" w:eastAsia="zh-CN" w:bidi="ar-SA"/>
              </w:rPr>
            </w:pPr>
            <w:r>
              <w:rPr>
                <w:rFonts w:hint="default" w:ascii="Times New Roman" w:hAnsi="Times New Roman" w:eastAsia="仿宋" w:cs="Times New Roman"/>
                <w:b w:val="0"/>
                <w:bCs/>
                <w:sz w:val="21"/>
                <w:szCs w:val="21"/>
                <w:lang w:val="en-US" w:eastAsia="zh-CN"/>
              </w:rPr>
              <w:t>52.88</w:t>
            </w:r>
          </w:p>
        </w:tc>
        <w:tc>
          <w:tcPr>
            <w:tcW w:w="488" w:type="dxa"/>
            <w:tcBorders>
              <w:tl2br w:val="nil"/>
              <w:tr2bl w:val="nil"/>
            </w:tcBorders>
            <w:noWrap w:val="0"/>
            <w:vAlign w:val="center"/>
          </w:tcPr>
          <w:p>
            <w:pPr>
              <w:widowControl/>
              <w:spacing w:line="320" w:lineRule="exact"/>
              <w:ind w:left="0" w:leftChars="0" w:firstLine="0" w:firstLineChars="0"/>
              <w:jc w:val="center"/>
              <w:rPr>
                <w:rFonts w:hint="default" w:ascii="Times New Roman" w:hAnsi="Times New Roman" w:eastAsia="仿宋" w:cs="Times New Roman"/>
                <w:b w:val="0"/>
                <w:bCs/>
                <w:kern w:val="2"/>
                <w:sz w:val="21"/>
                <w:szCs w:val="21"/>
                <w:lang w:val="en-US" w:eastAsia="zh-CN" w:bidi="ar-SA"/>
              </w:rPr>
            </w:pPr>
            <w:r>
              <w:rPr>
                <w:rFonts w:hint="default" w:ascii="Times New Roman" w:hAnsi="Times New Roman" w:eastAsia="仿宋" w:cs="Times New Roman"/>
                <w:b w:val="0"/>
                <w:bCs/>
                <w:sz w:val="21"/>
                <w:szCs w:val="21"/>
                <w:lang w:val="en-US" w:eastAsia="zh-CN"/>
              </w:rPr>
              <w:t>0.06</w:t>
            </w:r>
          </w:p>
        </w:tc>
        <w:tc>
          <w:tcPr>
            <w:tcW w:w="240" w:type="dxa"/>
            <w:tcBorders>
              <w:tl2br w:val="nil"/>
              <w:tr2bl w:val="nil"/>
            </w:tcBorders>
            <w:noWrap w:val="0"/>
            <w:vAlign w:val="center"/>
          </w:tcPr>
          <w:p>
            <w:pPr>
              <w:jc w:val="center"/>
              <w:rPr>
                <w:rFonts w:hint="default" w:ascii="Times New Roman" w:hAnsi="Times New Roman" w:eastAsia="仿宋" w:cs="Times New Roman"/>
                <w:b w:val="0"/>
                <w:bCs/>
                <w:sz w:val="21"/>
                <w:szCs w:val="21"/>
              </w:rPr>
            </w:pPr>
          </w:p>
        </w:tc>
      </w:tr>
    </w:tbl>
    <w:p>
      <w:pPr>
        <w:pStyle w:val="3"/>
        <w:bidi w:val="0"/>
        <w:rPr>
          <w:rFonts w:hint="default" w:ascii="Times New Roman" w:hAnsi="Times New Roman" w:eastAsia="黑体" w:cs="Times New Roman"/>
          <w:b w:val="0"/>
          <w:bCs/>
          <w:sz w:val="28"/>
          <w:szCs w:val="28"/>
          <w:lang w:val="en-US" w:eastAsia="zh-CN"/>
        </w:rPr>
      </w:pPr>
      <w:bookmarkStart w:id="30" w:name="_Toc7073"/>
      <w:bookmarkStart w:id="31" w:name="_Toc31866"/>
      <w:bookmarkStart w:id="32" w:name="_Toc17686"/>
      <w:r>
        <w:rPr>
          <w:rFonts w:hint="default" w:ascii="Times New Roman" w:hAnsi="Times New Roman" w:eastAsia="黑体" w:cs="Times New Roman"/>
          <w:b w:val="0"/>
          <w:bCs/>
          <w:sz w:val="28"/>
          <w:szCs w:val="28"/>
          <w:lang w:val="en-US" w:eastAsia="zh-CN"/>
        </w:rPr>
        <w:t>2.2.3废气污染源执法监测主要污染物排放达标情况</w:t>
      </w:r>
      <w:bookmarkEnd w:id="30"/>
      <w:bookmarkEnd w:id="31"/>
      <w:bookmarkEnd w:id="32"/>
    </w:p>
    <w:p>
      <w:pPr>
        <w:spacing w:line="360" w:lineRule="auto"/>
        <w:ind w:left="0" w:leftChars="0" w:firstLine="560" w:firstLineChars="200"/>
        <w:jc w:val="both"/>
        <w:rPr>
          <w:rFonts w:hint="default" w:ascii="Times New Roman" w:hAnsi="Times New Roman" w:cs="Times New Roman"/>
          <w:color w:val="FF0000"/>
          <w:lang w:val="en-US" w:eastAsia="zh-CN"/>
        </w:rPr>
      </w:pPr>
      <w:r>
        <w:rPr>
          <w:rFonts w:hint="default" w:ascii="Times New Roman" w:hAnsi="Times New Roman" w:cs="Times New Roman"/>
          <w:color w:val="000000" w:themeColor="text1"/>
          <w:lang w:val="en-US" w:eastAsia="zh-CN"/>
          <w14:textFill>
            <w14:solidFill>
              <w14:schemeClr w14:val="tx1"/>
            </w14:solidFill>
          </w14:textFill>
        </w:rPr>
        <w:t>全省废气执法监测28污染指标中，氮氧化物和烟尘的排放达标率分别为99.6%和97.5%，其余26项污染指标达标率均为100%，详见表2-8。</w:t>
      </w:r>
    </w:p>
    <w:p>
      <w:pPr>
        <w:keepNext w:val="0"/>
        <w:keepLines w:val="0"/>
        <w:pageBreakBefore w:val="0"/>
        <w:widowControl/>
        <w:kinsoku/>
        <w:wordWrap/>
        <w:overflowPunct/>
        <w:topLinePunct w:val="0"/>
        <w:autoSpaceDE/>
        <w:autoSpaceDN/>
        <w:bidi w:val="0"/>
        <w:adjustRightInd w:val="0"/>
        <w:snapToGrid w:val="0"/>
        <w:spacing w:before="156" w:beforeLines="50" w:after="156" w:afterLines="50" w:line="240" w:lineRule="auto"/>
        <w:jc w:val="center"/>
        <w:textAlignment w:val="auto"/>
        <w:rPr>
          <w:rFonts w:hint="default" w:ascii="Times New Roman" w:hAnsi="Times New Roman" w:eastAsia="黑体" w:cs="Times New Roman"/>
          <w:b w:val="0"/>
          <w:bCs/>
          <w:color w:val="000000" w:themeColor="text1"/>
          <w:sz w:val="24"/>
          <w:szCs w:val="24"/>
          <w:highlight w:val="none"/>
          <w14:textFill>
            <w14:solidFill>
              <w14:schemeClr w14:val="tx1"/>
            </w14:solidFill>
          </w14:textFill>
        </w:rPr>
      </w:pPr>
      <w:r>
        <w:rPr>
          <w:rFonts w:hint="default" w:ascii="Times New Roman" w:hAnsi="Times New Roman" w:eastAsia="黑体" w:cs="Times New Roman"/>
          <w:b w:val="0"/>
          <w:bCs/>
          <w:color w:val="000000" w:themeColor="text1"/>
          <w:sz w:val="24"/>
          <w:szCs w:val="24"/>
          <w:highlight w:val="none"/>
          <w14:textFill>
            <w14:solidFill>
              <w14:schemeClr w14:val="tx1"/>
            </w14:solidFill>
          </w14:textFill>
        </w:rPr>
        <w:t>表2-</w:t>
      </w:r>
      <w:r>
        <w:rPr>
          <w:rFonts w:hint="default" w:ascii="Times New Roman" w:hAnsi="Times New Roman" w:eastAsia="黑体" w:cs="Times New Roman"/>
          <w:b w:val="0"/>
          <w:bCs/>
          <w:color w:val="000000" w:themeColor="text1"/>
          <w:sz w:val="24"/>
          <w:szCs w:val="24"/>
          <w:highlight w:val="none"/>
          <w:lang w:val="en-US" w:eastAsia="zh-CN"/>
          <w14:textFill>
            <w14:solidFill>
              <w14:schemeClr w14:val="tx1"/>
            </w14:solidFill>
          </w14:textFill>
        </w:rPr>
        <w:t>8</w:t>
      </w:r>
      <w:r>
        <w:rPr>
          <w:rFonts w:hint="default" w:ascii="Times New Roman" w:hAnsi="Times New Roman" w:eastAsia="黑体" w:cs="Times New Roman"/>
          <w:b w:val="0"/>
          <w:bCs/>
          <w:color w:val="FF0000"/>
          <w:sz w:val="24"/>
          <w:szCs w:val="24"/>
          <w:highlight w:val="none"/>
          <w:lang w:val="en-US" w:eastAsia="zh-CN"/>
        </w:rPr>
        <w:t xml:space="preserve">  </w:t>
      </w:r>
      <w:r>
        <w:rPr>
          <w:rFonts w:hint="default" w:ascii="Times New Roman" w:hAnsi="Times New Roman" w:eastAsia="黑体" w:cs="Times New Roman"/>
          <w:b w:val="0"/>
          <w:bCs/>
          <w:color w:val="000000" w:themeColor="text1"/>
          <w:sz w:val="24"/>
          <w:szCs w:val="24"/>
          <w:highlight w:val="none"/>
          <w14:textFill>
            <w14:solidFill>
              <w14:schemeClr w14:val="tx1"/>
            </w14:solidFill>
          </w14:textFill>
        </w:rPr>
        <w:t>20</w:t>
      </w:r>
      <w:r>
        <w:rPr>
          <w:rFonts w:hint="default" w:ascii="Times New Roman" w:hAnsi="Times New Roman" w:eastAsia="黑体" w:cs="Times New Roman"/>
          <w:b w:val="0"/>
          <w:bCs/>
          <w:color w:val="000000" w:themeColor="text1"/>
          <w:sz w:val="24"/>
          <w:szCs w:val="24"/>
          <w:highlight w:val="none"/>
          <w:lang w:val="en-US" w:eastAsia="zh-CN"/>
          <w14:textFill>
            <w14:solidFill>
              <w14:schemeClr w14:val="tx1"/>
            </w14:solidFill>
          </w14:textFill>
        </w:rPr>
        <w:t>22</w:t>
      </w:r>
      <w:r>
        <w:rPr>
          <w:rFonts w:hint="default" w:ascii="Times New Roman" w:hAnsi="Times New Roman" w:eastAsia="黑体" w:cs="Times New Roman"/>
          <w:b w:val="0"/>
          <w:bCs/>
          <w:color w:val="000000" w:themeColor="text1"/>
          <w:sz w:val="24"/>
          <w:szCs w:val="24"/>
          <w:highlight w:val="none"/>
          <w14:textFill>
            <w14:solidFill>
              <w14:schemeClr w14:val="tx1"/>
            </w14:solidFill>
          </w14:textFill>
        </w:rPr>
        <w:t>年</w:t>
      </w:r>
      <w:r>
        <w:rPr>
          <w:rFonts w:hint="default" w:ascii="Times New Roman" w:hAnsi="Times New Roman" w:eastAsia="黑体" w:cs="Times New Roman"/>
          <w:b w:val="0"/>
          <w:bCs/>
          <w:color w:val="000000" w:themeColor="text1"/>
          <w:sz w:val="24"/>
          <w:szCs w:val="24"/>
          <w:highlight w:val="none"/>
          <w:lang w:eastAsia="zh-CN"/>
          <w14:textFill>
            <w14:solidFill>
              <w14:schemeClr w14:val="tx1"/>
            </w14:solidFill>
          </w14:textFill>
        </w:rPr>
        <w:t>吉林</w:t>
      </w:r>
      <w:r>
        <w:rPr>
          <w:rFonts w:hint="default" w:ascii="Times New Roman" w:hAnsi="Times New Roman" w:eastAsia="黑体" w:cs="Times New Roman"/>
          <w:b w:val="0"/>
          <w:bCs/>
          <w:color w:val="000000" w:themeColor="text1"/>
          <w:sz w:val="24"/>
          <w:szCs w:val="24"/>
          <w:highlight w:val="none"/>
          <w14:textFill>
            <w14:solidFill>
              <w14:schemeClr w14:val="tx1"/>
            </w14:solidFill>
          </w14:textFill>
        </w:rPr>
        <w:t>省废气</w:t>
      </w:r>
      <w:r>
        <w:rPr>
          <w:rFonts w:hint="default" w:ascii="Times New Roman" w:hAnsi="Times New Roman" w:eastAsia="黑体" w:cs="Times New Roman"/>
          <w:b w:val="0"/>
          <w:bCs/>
          <w:color w:val="000000" w:themeColor="text1"/>
          <w:sz w:val="24"/>
          <w:szCs w:val="24"/>
          <w:highlight w:val="none"/>
          <w:lang w:eastAsia="zh-CN"/>
          <w14:textFill>
            <w14:solidFill>
              <w14:schemeClr w14:val="tx1"/>
            </w14:solidFill>
          </w14:textFill>
        </w:rPr>
        <w:t>排放</w:t>
      </w:r>
      <w:r>
        <w:rPr>
          <w:rFonts w:hint="default" w:ascii="Times New Roman" w:hAnsi="Times New Roman" w:eastAsia="黑体" w:cs="Times New Roman"/>
          <w:b w:val="0"/>
          <w:bCs/>
          <w:color w:val="000000" w:themeColor="text1"/>
          <w:sz w:val="24"/>
          <w:szCs w:val="24"/>
          <w:highlight w:val="none"/>
          <w14:textFill>
            <w14:solidFill>
              <w14:schemeClr w14:val="tx1"/>
            </w14:solidFill>
          </w14:textFill>
        </w:rPr>
        <w:t>企业主要污染物排放达标情况</w:t>
      </w:r>
    </w:p>
    <w:tbl>
      <w:tblPr>
        <w:tblStyle w:val="11"/>
        <w:tblW w:w="8889"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94"/>
        <w:gridCol w:w="3231"/>
        <w:gridCol w:w="2964"/>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blHeader/>
        </w:trPr>
        <w:tc>
          <w:tcPr>
            <w:tcW w:w="2694" w:type="dxa"/>
            <w:tcBorders>
              <w:bottom w:val="single" w:color="auto" w:sz="12" w:space="0"/>
            </w:tcBorders>
            <w:vAlign w:val="top"/>
          </w:tcPr>
          <w:p>
            <w:pPr>
              <w:ind w:left="0" w:leftChars="0" w:firstLine="0" w:firstLineChars="0"/>
              <w:jc w:val="center"/>
              <w:rPr>
                <w:rFonts w:hint="default" w:ascii="Times New Roman" w:hAnsi="Times New Roman" w:eastAsia="黑体" w:cs="Times New Roman"/>
                <w:b w:val="0"/>
                <w:bCs w:val="0"/>
                <w:color w:val="000000" w:themeColor="text1"/>
                <w:sz w:val="24"/>
                <w:szCs w:val="24"/>
                <w:vertAlign w:val="baseline"/>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4"/>
                <w:szCs w:val="24"/>
                <w:vertAlign w:val="baseline"/>
                <w:lang w:val="en-US" w:eastAsia="zh-CN"/>
                <w14:textFill>
                  <w14:solidFill>
                    <w14:schemeClr w14:val="tx1"/>
                  </w14:solidFill>
                </w14:textFill>
              </w:rPr>
              <w:t>监测项目</w:t>
            </w:r>
          </w:p>
        </w:tc>
        <w:tc>
          <w:tcPr>
            <w:tcW w:w="3231" w:type="dxa"/>
            <w:tcBorders>
              <w:bottom w:val="single" w:color="auto" w:sz="12" w:space="0"/>
            </w:tcBorders>
            <w:vAlign w:val="top"/>
          </w:tcPr>
          <w:p>
            <w:pPr>
              <w:ind w:left="0" w:leftChars="0" w:firstLine="0" w:firstLineChars="0"/>
              <w:jc w:val="center"/>
              <w:rPr>
                <w:rFonts w:hint="default" w:ascii="Times New Roman" w:hAnsi="Times New Roman" w:eastAsia="黑体" w:cs="Times New Roman"/>
                <w:b w:val="0"/>
                <w:bCs w:val="0"/>
                <w:color w:val="000000" w:themeColor="text1"/>
                <w:sz w:val="24"/>
                <w:szCs w:val="24"/>
                <w:vertAlign w:val="baseline"/>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4"/>
                <w:szCs w:val="24"/>
                <w:vertAlign w:val="baseline"/>
                <w:lang w:val="en-US" w:eastAsia="zh-CN"/>
                <w14:textFill>
                  <w14:solidFill>
                    <w14:schemeClr w14:val="tx1"/>
                  </w14:solidFill>
                </w14:textFill>
              </w:rPr>
              <w:t>废气排放企业数量</w:t>
            </w:r>
          </w:p>
        </w:tc>
        <w:tc>
          <w:tcPr>
            <w:tcW w:w="2964" w:type="dxa"/>
            <w:tcBorders>
              <w:bottom w:val="single" w:color="auto" w:sz="12" w:space="0"/>
            </w:tcBorders>
            <w:vAlign w:val="top"/>
          </w:tcPr>
          <w:p>
            <w:pPr>
              <w:ind w:left="0" w:leftChars="0" w:firstLine="0" w:firstLineChars="0"/>
              <w:jc w:val="center"/>
              <w:rPr>
                <w:rFonts w:hint="default" w:ascii="Times New Roman" w:hAnsi="Times New Roman" w:eastAsia="黑体" w:cs="Times New Roman"/>
                <w:b w:val="0"/>
                <w:bCs w:val="0"/>
                <w:color w:val="000000" w:themeColor="text1"/>
                <w:sz w:val="24"/>
                <w:szCs w:val="24"/>
                <w:vertAlign w:val="baseline"/>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4"/>
                <w:szCs w:val="24"/>
                <w:vertAlign w:val="baseline"/>
                <w:lang w:val="en-US" w:eastAsia="zh-CN"/>
                <w14:textFill>
                  <w14:solidFill>
                    <w14:schemeClr w14:val="tx1"/>
                  </w14:solidFill>
                </w14:textFill>
              </w:rPr>
              <w:t>达标率（%）</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694" w:type="dxa"/>
            <w:tcBorders>
              <w:top w:val="single" w:color="auto" w:sz="12" w:space="0"/>
              <w:tl2br w:val="nil"/>
              <w:tr2bl w:val="nil"/>
            </w:tcBorders>
            <w:vAlign w:val="center"/>
          </w:tcPr>
          <w:p>
            <w:pPr>
              <w:keepNext w:val="0"/>
              <w:keepLines w:val="0"/>
              <w:widowControl/>
              <w:suppressLineNumbers w:val="0"/>
              <w:ind w:firstLine="420" w:firstLineChars="200"/>
              <w:jc w:val="center"/>
              <w:textAlignment w:val="center"/>
              <w:rPr>
                <w:rFonts w:hint="default" w:ascii="Times New Roman" w:hAnsi="Times New Roman" w:eastAsia="仿宋" w:cs="Times New Roman"/>
                <w:i w:val="0"/>
                <w:iCs w:val="0"/>
                <w:color w:val="000000"/>
                <w:kern w:val="2"/>
                <w:sz w:val="21"/>
                <w:szCs w:val="21"/>
                <w:u w:val="none"/>
                <w:lang w:val="en-US" w:eastAsia="zh-CN" w:bidi="ar-SA"/>
              </w:rPr>
            </w:pPr>
            <w:r>
              <w:rPr>
                <w:rFonts w:hint="default" w:ascii="Times New Roman" w:hAnsi="Times New Roman" w:eastAsia="仿宋" w:cs="Times New Roman"/>
                <w:i w:val="0"/>
                <w:iCs w:val="0"/>
                <w:color w:val="000000"/>
                <w:kern w:val="0"/>
                <w:sz w:val="21"/>
                <w:szCs w:val="21"/>
                <w:u w:val="none"/>
                <w:lang w:val="en-US" w:eastAsia="zh-CN" w:bidi="ar"/>
              </w:rPr>
              <w:t>氨（氨气）</w:t>
            </w:r>
          </w:p>
        </w:tc>
        <w:tc>
          <w:tcPr>
            <w:tcW w:w="3231" w:type="dxa"/>
            <w:tcBorders>
              <w:top w:val="single" w:color="auto" w:sz="12" w:space="0"/>
              <w:tl2br w:val="nil"/>
              <w:tr2bl w:val="nil"/>
            </w:tcBorders>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9</w:t>
            </w:r>
          </w:p>
        </w:tc>
        <w:tc>
          <w:tcPr>
            <w:tcW w:w="2964" w:type="dxa"/>
            <w:tcBorders>
              <w:top w:val="single" w:color="auto" w:sz="12" w:space="0"/>
              <w:tl2br w:val="nil"/>
              <w:tr2bl w:val="nil"/>
            </w:tcBorders>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694" w:type="dxa"/>
            <w:tcBorders>
              <w:tl2br w:val="nil"/>
              <w:tr2bl w:val="nil"/>
            </w:tcBorders>
            <w:vAlign w:val="center"/>
          </w:tcPr>
          <w:p>
            <w:pPr>
              <w:keepNext w:val="0"/>
              <w:keepLines w:val="0"/>
              <w:widowControl/>
              <w:suppressLineNumbers w:val="0"/>
              <w:ind w:firstLine="420" w:firstLineChars="200"/>
              <w:jc w:val="center"/>
              <w:textAlignment w:val="center"/>
              <w:rPr>
                <w:rFonts w:hint="default" w:ascii="Times New Roman" w:hAnsi="Times New Roman" w:eastAsia="仿宋" w:cs="Times New Roman"/>
                <w:i w:val="0"/>
                <w:iCs w:val="0"/>
                <w:color w:val="000000"/>
                <w:kern w:val="2"/>
                <w:sz w:val="21"/>
                <w:szCs w:val="21"/>
                <w:u w:val="none"/>
                <w:lang w:val="en-US" w:eastAsia="zh-CN" w:bidi="ar-SA"/>
              </w:rPr>
            </w:pPr>
            <w:r>
              <w:rPr>
                <w:rFonts w:hint="default" w:ascii="Times New Roman" w:hAnsi="Times New Roman" w:eastAsia="仿宋" w:cs="Times New Roman"/>
                <w:i w:val="0"/>
                <w:iCs w:val="0"/>
                <w:color w:val="000000"/>
                <w:kern w:val="0"/>
                <w:sz w:val="21"/>
                <w:szCs w:val="21"/>
                <w:u w:val="none"/>
                <w:lang w:val="en-US" w:eastAsia="zh-CN" w:bidi="ar"/>
              </w:rPr>
              <w:t>苯系物</w:t>
            </w:r>
          </w:p>
        </w:tc>
        <w:tc>
          <w:tcPr>
            <w:tcW w:w="3231" w:type="dxa"/>
            <w:tcBorders>
              <w:tl2br w:val="nil"/>
              <w:tr2bl w:val="nil"/>
            </w:tcBorders>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2</w:t>
            </w:r>
          </w:p>
        </w:tc>
        <w:tc>
          <w:tcPr>
            <w:tcW w:w="2964" w:type="dxa"/>
            <w:tcBorders>
              <w:tl2br w:val="nil"/>
              <w:tr2bl w:val="nil"/>
            </w:tcBorders>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694" w:type="dxa"/>
            <w:tcBorders>
              <w:tl2br w:val="nil"/>
              <w:tr2bl w:val="nil"/>
            </w:tcBorders>
            <w:vAlign w:val="center"/>
          </w:tcPr>
          <w:p>
            <w:pPr>
              <w:keepNext w:val="0"/>
              <w:keepLines w:val="0"/>
              <w:widowControl/>
              <w:suppressLineNumbers w:val="0"/>
              <w:ind w:firstLine="420" w:firstLineChars="200"/>
              <w:jc w:val="center"/>
              <w:textAlignment w:val="center"/>
              <w:rPr>
                <w:rFonts w:hint="default" w:ascii="Times New Roman" w:hAnsi="Times New Roman" w:eastAsia="仿宋" w:cs="Times New Roman"/>
                <w:i w:val="0"/>
                <w:iCs w:val="0"/>
                <w:color w:val="000000"/>
                <w:kern w:val="2"/>
                <w:sz w:val="21"/>
                <w:szCs w:val="21"/>
                <w:u w:val="none"/>
                <w:lang w:val="en-US" w:eastAsia="zh-CN" w:bidi="ar-SA"/>
              </w:rPr>
            </w:pPr>
            <w:r>
              <w:rPr>
                <w:rFonts w:hint="default" w:ascii="Times New Roman" w:hAnsi="Times New Roman" w:eastAsia="仿宋" w:cs="Times New Roman"/>
                <w:i w:val="0"/>
                <w:iCs w:val="0"/>
                <w:color w:val="000000"/>
                <w:kern w:val="0"/>
                <w:sz w:val="21"/>
                <w:szCs w:val="21"/>
                <w:u w:val="none"/>
                <w:lang w:val="en-US" w:eastAsia="zh-CN" w:bidi="ar"/>
              </w:rPr>
              <w:t>臭气浓度</w:t>
            </w:r>
          </w:p>
        </w:tc>
        <w:tc>
          <w:tcPr>
            <w:tcW w:w="3231" w:type="dxa"/>
            <w:tcBorders>
              <w:tl2br w:val="nil"/>
              <w:tr2bl w:val="nil"/>
            </w:tcBorders>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9</w:t>
            </w:r>
          </w:p>
        </w:tc>
        <w:tc>
          <w:tcPr>
            <w:tcW w:w="2964" w:type="dxa"/>
            <w:tcBorders>
              <w:tl2br w:val="nil"/>
              <w:tr2bl w:val="nil"/>
            </w:tcBorders>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694" w:type="dxa"/>
            <w:tcBorders>
              <w:tl2br w:val="nil"/>
              <w:tr2bl w:val="nil"/>
            </w:tcBorders>
            <w:vAlign w:val="center"/>
          </w:tcPr>
          <w:p>
            <w:pPr>
              <w:keepNext w:val="0"/>
              <w:keepLines w:val="0"/>
              <w:widowControl/>
              <w:suppressLineNumbers w:val="0"/>
              <w:ind w:firstLine="420" w:firstLineChars="200"/>
              <w:jc w:val="center"/>
              <w:textAlignment w:val="center"/>
              <w:rPr>
                <w:rFonts w:hint="default" w:ascii="Times New Roman" w:hAnsi="Times New Roman" w:eastAsia="仿宋" w:cs="Times New Roman"/>
                <w:i w:val="0"/>
                <w:iCs w:val="0"/>
                <w:color w:val="000000"/>
                <w:kern w:val="2"/>
                <w:sz w:val="21"/>
                <w:szCs w:val="21"/>
                <w:u w:val="none"/>
                <w:lang w:val="en-US" w:eastAsia="zh-CN" w:bidi="ar-SA"/>
              </w:rPr>
            </w:pPr>
            <w:r>
              <w:rPr>
                <w:rFonts w:hint="default" w:ascii="Times New Roman" w:hAnsi="Times New Roman" w:eastAsia="仿宋" w:cs="Times New Roman"/>
                <w:i w:val="0"/>
                <w:iCs w:val="0"/>
                <w:color w:val="000000"/>
                <w:kern w:val="0"/>
                <w:sz w:val="21"/>
                <w:szCs w:val="21"/>
                <w:u w:val="none"/>
                <w:lang w:val="en-US" w:eastAsia="zh-CN" w:bidi="ar"/>
              </w:rPr>
              <w:t>氮氧化物</w:t>
            </w:r>
          </w:p>
        </w:tc>
        <w:tc>
          <w:tcPr>
            <w:tcW w:w="3231" w:type="dxa"/>
            <w:tcBorders>
              <w:tl2br w:val="nil"/>
              <w:tr2bl w:val="nil"/>
            </w:tcBorders>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270</w:t>
            </w:r>
          </w:p>
        </w:tc>
        <w:tc>
          <w:tcPr>
            <w:tcW w:w="2964" w:type="dxa"/>
            <w:tcBorders>
              <w:tl2br w:val="nil"/>
              <w:tr2bl w:val="nil"/>
            </w:tcBorders>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99.6%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694" w:type="dxa"/>
            <w:tcBorders>
              <w:tl2br w:val="nil"/>
              <w:tr2bl w:val="nil"/>
            </w:tcBorders>
            <w:vAlign w:val="center"/>
          </w:tcPr>
          <w:p>
            <w:pPr>
              <w:keepNext w:val="0"/>
              <w:keepLines w:val="0"/>
              <w:widowControl/>
              <w:suppressLineNumbers w:val="0"/>
              <w:ind w:firstLine="420" w:firstLineChars="200"/>
              <w:jc w:val="center"/>
              <w:textAlignment w:val="center"/>
              <w:rPr>
                <w:rFonts w:hint="default" w:ascii="Times New Roman" w:hAnsi="Times New Roman" w:eastAsia="仿宋" w:cs="Times New Roman"/>
                <w:i w:val="0"/>
                <w:iCs w:val="0"/>
                <w:color w:val="000000"/>
                <w:kern w:val="2"/>
                <w:sz w:val="21"/>
                <w:szCs w:val="21"/>
                <w:u w:val="none"/>
                <w:lang w:val="en-US" w:eastAsia="zh-CN" w:bidi="ar-SA"/>
              </w:rPr>
            </w:pPr>
            <w:r>
              <w:rPr>
                <w:rFonts w:hint="default" w:ascii="Times New Roman" w:hAnsi="Times New Roman" w:eastAsia="仿宋" w:cs="Times New Roman"/>
                <w:i w:val="0"/>
                <w:iCs w:val="0"/>
                <w:color w:val="000000"/>
                <w:kern w:val="0"/>
                <w:sz w:val="21"/>
                <w:szCs w:val="21"/>
                <w:u w:val="none"/>
                <w:lang w:val="en-US" w:eastAsia="zh-CN" w:bidi="ar"/>
              </w:rPr>
              <w:t>二噁英类</w:t>
            </w:r>
          </w:p>
        </w:tc>
        <w:tc>
          <w:tcPr>
            <w:tcW w:w="3231" w:type="dxa"/>
            <w:tcBorders>
              <w:tl2br w:val="nil"/>
              <w:tr2bl w:val="nil"/>
            </w:tcBorders>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5</w:t>
            </w:r>
          </w:p>
        </w:tc>
        <w:tc>
          <w:tcPr>
            <w:tcW w:w="2964" w:type="dxa"/>
            <w:tcBorders>
              <w:tl2br w:val="nil"/>
              <w:tr2bl w:val="nil"/>
            </w:tcBorders>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694" w:type="dxa"/>
            <w:tcBorders>
              <w:tl2br w:val="nil"/>
              <w:tr2bl w:val="nil"/>
            </w:tcBorders>
            <w:vAlign w:val="center"/>
          </w:tcPr>
          <w:p>
            <w:pPr>
              <w:keepNext w:val="0"/>
              <w:keepLines w:val="0"/>
              <w:widowControl/>
              <w:suppressLineNumbers w:val="0"/>
              <w:ind w:firstLine="420" w:firstLineChars="200"/>
              <w:jc w:val="center"/>
              <w:textAlignment w:val="center"/>
              <w:rPr>
                <w:rFonts w:hint="default" w:ascii="Times New Roman" w:hAnsi="Times New Roman" w:eastAsia="仿宋" w:cs="Times New Roman"/>
                <w:i w:val="0"/>
                <w:iCs w:val="0"/>
                <w:color w:val="000000"/>
                <w:kern w:val="2"/>
                <w:sz w:val="21"/>
                <w:szCs w:val="21"/>
                <w:u w:val="none"/>
                <w:lang w:val="en-US" w:eastAsia="zh-CN" w:bidi="ar-SA"/>
              </w:rPr>
            </w:pPr>
            <w:r>
              <w:rPr>
                <w:rFonts w:hint="default" w:ascii="Times New Roman" w:hAnsi="Times New Roman" w:eastAsia="仿宋" w:cs="Times New Roman"/>
                <w:i w:val="0"/>
                <w:iCs w:val="0"/>
                <w:color w:val="000000"/>
                <w:kern w:val="0"/>
                <w:sz w:val="21"/>
                <w:szCs w:val="21"/>
                <w:u w:val="none"/>
                <w:lang w:val="en-US" w:eastAsia="zh-CN" w:bidi="ar"/>
              </w:rPr>
              <w:t>二甲苯</w:t>
            </w:r>
          </w:p>
        </w:tc>
        <w:tc>
          <w:tcPr>
            <w:tcW w:w="3231" w:type="dxa"/>
            <w:tcBorders>
              <w:tl2br w:val="nil"/>
              <w:tr2bl w:val="nil"/>
            </w:tcBorders>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3</w:t>
            </w:r>
          </w:p>
        </w:tc>
        <w:tc>
          <w:tcPr>
            <w:tcW w:w="2964" w:type="dxa"/>
            <w:tcBorders>
              <w:tl2br w:val="nil"/>
              <w:tr2bl w:val="nil"/>
            </w:tcBorders>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694" w:type="dxa"/>
            <w:tcBorders>
              <w:tl2br w:val="nil"/>
              <w:tr2bl w:val="nil"/>
            </w:tcBorders>
            <w:vAlign w:val="center"/>
          </w:tcPr>
          <w:p>
            <w:pPr>
              <w:keepNext w:val="0"/>
              <w:keepLines w:val="0"/>
              <w:widowControl/>
              <w:suppressLineNumbers w:val="0"/>
              <w:ind w:firstLine="420" w:firstLineChars="200"/>
              <w:jc w:val="center"/>
              <w:textAlignment w:val="center"/>
              <w:rPr>
                <w:rFonts w:hint="default" w:ascii="Times New Roman" w:hAnsi="Times New Roman" w:eastAsia="仿宋" w:cs="Times New Roman"/>
                <w:i w:val="0"/>
                <w:iCs w:val="0"/>
                <w:color w:val="000000"/>
                <w:kern w:val="2"/>
                <w:sz w:val="21"/>
                <w:szCs w:val="21"/>
                <w:u w:val="none"/>
                <w:lang w:val="en-US" w:eastAsia="zh-CN" w:bidi="ar-SA"/>
              </w:rPr>
            </w:pPr>
            <w:r>
              <w:rPr>
                <w:rFonts w:hint="default" w:ascii="Times New Roman" w:hAnsi="Times New Roman" w:eastAsia="仿宋" w:cs="Times New Roman"/>
                <w:i w:val="0"/>
                <w:iCs w:val="0"/>
                <w:color w:val="000000"/>
                <w:kern w:val="0"/>
                <w:sz w:val="21"/>
                <w:szCs w:val="21"/>
                <w:u w:val="none"/>
                <w:lang w:val="en-US" w:eastAsia="zh-CN" w:bidi="ar"/>
              </w:rPr>
              <w:t>二氧化硫</w:t>
            </w:r>
          </w:p>
        </w:tc>
        <w:tc>
          <w:tcPr>
            <w:tcW w:w="3231" w:type="dxa"/>
            <w:tcBorders>
              <w:tl2br w:val="nil"/>
              <w:tr2bl w:val="nil"/>
            </w:tcBorders>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276</w:t>
            </w:r>
          </w:p>
        </w:tc>
        <w:tc>
          <w:tcPr>
            <w:tcW w:w="2964" w:type="dxa"/>
            <w:tcBorders>
              <w:tl2br w:val="nil"/>
              <w:tr2bl w:val="nil"/>
            </w:tcBorders>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694" w:type="dxa"/>
            <w:tcBorders>
              <w:tl2br w:val="nil"/>
              <w:tr2bl w:val="nil"/>
            </w:tcBorders>
            <w:vAlign w:val="center"/>
          </w:tcPr>
          <w:p>
            <w:pPr>
              <w:keepNext w:val="0"/>
              <w:keepLines w:val="0"/>
              <w:widowControl/>
              <w:suppressLineNumbers w:val="0"/>
              <w:ind w:firstLine="420" w:firstLineChars="200"/>
              <w:jc w:val="center"/>
              <w:textAlignment w:val="center"/>
              <w:rPr>
                <w:rFonts w:hint="default" w:ascii="Times New Roman" w:hAnsi="Times New Roman" w:eastAsia="仿宋" w:cs="Times New Roman"/>
                <w:i w:val="0"/>
                <w:iCs w:val="0"/>
                <w:color w:val="000000"/>
                <w:kern w:val="2"/>
                <w:sz w:val="21"/>
                <w:szCs w:val="21"/>
                <w:u w:val="none"/>
                <w:lang w:val="en-US" w:eastAsia="zh-CN" w:bidi="ar-SA"/>
              </w:rPr>
            </w:pPr>
            <w:r>
              <w:rPr>
                <w:rFonts w:hint="default" w:ascii="Times New Roman" w:hAnsi="Times New Roman" w:eastAsia="仿宋" w:cs="Times New Roman"/>
                <w:i w:val="0"/>
                <w:iCs w:val="0"/>
                <w:color w:val="000000"/>
                <w:kern w:val="0"/>
                <w:sz w:val="21"/>
                <w:szCs w:val="21"/>
                <w:u w:val="none"/>
                <w:lang w:val="en-US" w:eastAsia="zh-CN" w:bidi="ar"/>
              </w:rPr>
              <w:t>非甲烷总烃</w:t>
            </w:r>
          </w:p>
        </w:tc>
        <w:tc>
          <w:tcPr>
            <w:tcW w:w="3231" w:type="dxa"/>
            <w:tcBorders>
              <w:tl2br w:val="nil"/>
              <w:tr2bl w:val="nil"/>
            </w:tcBorders>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17</w:t>
            </w:r>
          </w:p>
        </w:tc>
        <w:tc>
          <w:tcPr>
            <w:tcW w:w="2964" w:type="dxa"/>
            <w:tcBorders>
              <w:tl2br w:val="nil"/>
              <w:tr2bl w:val="nil"/>
            </w:tcBorders>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694" w:type="dxa"/>
            <w:tcBorders>
              <w:tl2br w:val="nil"/>
              <w:tr2bl w:val="nil"/>
            </w:tcBorders>
            <w:vAlign w:val="center"/>
          </w:tcPr>
          <w:p>
            <w:pPr>
              <w:keepNext w:val="0"/>
              <w:keepLines w:val="0"/>
              <w:widowControl/>
              <w:suppressLineNumbers w:val="0"/>
              <w:ind w:firstLine="420" w:firstLineChars="200"/>
              <w:jc w:val="center"/>
              <w:textAlignment w:val="center"/>
              <w:rPr>
                <w:rFonts w:hint="default" w:ascii="Times New Roman" w:hAnsi="Times New Roman" w:eastAsia="仿宋" w:cs="Times New Roman"/>
                <w:i w:val="0"/>
                <w:iCs w:val="0"/>
                <w:color w:val="000000"/>
                <w:kern w:val="2"/>
                <w:sz w:val="21"/>
                <w:szCs w:val="21"/>
                <w:u w:val="none"/>
                <w:lang w:val="en-US" w:eastAsia="zh-CN" w:bidi="ar-SA"/>
              </w:rPr>
            </w:pPr>
            <w:r>
              <w:rPr>
                <w:rFonts w:hint="default" w:ascii="Times New Roman" w:hAnsi="Times New Roman" w:eastAsia="仿宋" w:cs="Times New Roman"/>
                <w:i w:val="0"/>
                <w:iCs w:val="0"/>
                <w:color w:val="000000"/>
                <w:kern w:val="0"/>
                <w:sz w:val="21"/>
                <w:szCs w:val="21"/>
                <w:u w:val="none"/>
                <w:lang w:val="en-US" w:eastAsia="zh-CN" w:bidi="ar"/>
              </w:rPr>
              <w:t>氟化氢</w:t>
            </w:r>
          </w:p>
        </w:tc>
        <w:tc>
          <w:tcPr>
            <w:tcW w:w="3231" w:type="dxa"/>
            <w:tcBorders>
              <w:tl2br w:val="nil"/>
              <w:tr2bl w:val="nil"/>
            </w:tcBorders>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3</w:t>
            </w:r>
          </w:p>
        </w:tc>
        <w:tc>
          <w:tcPr>
            <w:tcW w:w="2964" w:type="dxa"/>
            <w:tcBorders>
              <w:tl2br w:val="nil"/>
              <w:tr2bl w:val="nil"/>
            </w:tcBorders>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694" w:type="dxa"/>
            <w:tcBorders>
              <w:tl2br w:val="nil"/>
              <w:tr2bl w:val="nil"/>
            </w:tcBorders>
            <w:vAlign w:val="center"/>
          </w:tcPr>
          <w:p>
            <w:pPr>
              <w:keepNext w:val="0"/>
              <w:keepLines w:val="0"/>
              <w:widowControl/>
              <w:suppressLineNumbers w:val="0"/>
              <w:ind w:firstLine="420" w:firstLineChars="200"/>
              <w:jc w:val="center"/>
              <w:textAlignment w:val="center"/>
              <w:rPr>
                <w:rFonts w:hint="default" w:ascii="Times New Roman" w:hAnsi="Times New Roman" w:eastAsia="仿宋" w:cs="Times New Roman"/>
                <w:i w:val="0"/>
                <w:iCs w:val="0"/>
                <w:color w:val="000000"/>
                <w:kern w:val="2"/>
                <w:sz w:val="21"/>
                <w:szCs w:val="21"/>
                <w:u w:val="none"/>
                <w:lang w:val="en-US" w:eastAsia="zh-CN" w:bidi="ar-SA"/>
              </w:rPr>
            </w:pPr>
            <w:r>
              <w:rPr>
                <w:rFonts w:hint="default" w:ascii="Times New Roman" w:hAnsi="Times New Roman" w:eastAsia="仿宋" w:cs="Times New Roman"/>
                <w:i w:val="0"/>
                <w:iCs w:val="0"/>
                <w:color w:val="000000"/>
                <w:kern w:val="0"/>
                <w:sz w:val="21"/>
                <w:szCs w:val="21"/>
                <w:u w:val="none"/>
                <w:lang w:val="en-US" w:eastAsia="zh-CN" w:bidi="ar"/>
              </w:rPr>
              <w:t>氟化物</w:t>
            </w:r>
          </w:p>
        </w:tc>
        <w:tc>
          <w:tcPr>
            <w:tcW w:w="3231" w:type="dxa"/>
            <w:tcBorders>
              <w:tl2br w:val="nil"/>
              <w:tr2bl w:val="nil"/>
            </w:tcBorders>
            <w:vAlign w:val="top"/>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4</w:t>
            </w:r>
          </w:p>
        </w:tc>
        <w:tc>
          <w:tcPr>
            <w:tcW w:w="2964" w:type="dxa"/>
            <w:tcBorders>
              <w:tl2br w:val="nil"/>
              <w:tr2bl w:val="nil"/>
            </w:tcBorders>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2694" w:type="dxa"/>
            <w:tcBorders>
              <w:tl2br w:val="nil"/>
              <w:tr2bl w:val="nil"/>
            </w:tcBorders>
            <w:vAlign w:val="center"/>
          </w:tcPr>
          <w:p>
            <w:pPr>
              <w:keepNext w:val="0"/>
              <w:keepLines w:val="0"/>
              <w:widowControl/>
              <w:suppressLineNumbers w:val="0"/>
              <w:ind w:firstLine="420" w:firstLineChars="200"/>
              <w:jc w:val="center"/>
              <w:textAlignment w:val="center"/>
              <w:rPr>
                <w:rFonts w:hint="default" w:ascii="Times New Roman" w:hAnsi="Times New Roman" w:eastAsia="仿宋" w:cs="Times New Roman"/>
                <w:i w:val="0"/>
                <w:iCs w:val="0"/>
                <w:color w:val="000000"/>
                <w:kern w:val="2"/>
                <w:sz w:val="21"/>
                <w:szCs w:val="21"/>
                <w:u w:val="none"/>
                <w:lang w:val="en-US" w:eastAsia="zh-CN" w:bidi="ar-SA"/>
              </w:rPr>
            </w:pPr>
            <w:r>
              <w:rPr>
                <w:rFonts w:hint="default" w:ascii="Times New Roman" w:hAnsi="Times New Roman" w:eastAsia="仿宋" w:cs="Times New Roman"/>
                <w:i w:val="0"/>
                <w:iCs w:val="0"/>
                <w:color w:val="000000"/>
                <w:kern w:val="0"/>
                <w:sz w:val="21"/>
                <w:szCs w:val="21"/>
                <w:u w:val="none"/>
                <w:lang w:val="en-US" w:eastAsia="zh-CN" w:bidi="ar"/>
              </w:rPr>
              <w:t>镉、铊及其化合物（以Cd +Tl计）</w:t>
            </w:r>
          </w:p>
        </w:tc>
        <w:tc>
          <w:tcPr>
            <w:tcW w:w="3231"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5</w:t>
            </w:r>
          </w:p>
        </w:tc>
        <w:tc>
          <w:tcPr>
            <w:tcW w:w="2964"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2694" w:type="dxa"/>
            <w:tcBorders>
              <w:tl2br w:val="nil"/>
              <w:tr2bl w:val="nil"/>
            </w:tcBorders>
            <w:vAlign w:val="center"/>
          </w:tcPr>
          <w:p>
            <w:pPr>
              <w:keepNext w:val="0"/>
              <w:keepLines w:val="0"/>
              <w:widowControl/>
              <w:suppressLineNumbers w:val="0"/>
              <w:ind w:firstLine="420" w:firstLineChars="200"/>
              <w:jc w:val="center"/>
              <w:textAlignment w:val="center"/>
              <w:rPr>
                <w:rFonts w:hint="default" w:ascii="Times New Roman" w:hAnsi="Times New Roman" w:eastAsia="仿宋" w:cs="Times New Roman"/>
                <w:i w:val="0"/>
                <w:iCs w:val="0"/>
                <w:color w:val="000000"/>
                <w:kern w:val="2"/>
                <w:sz w:val="21"/>
                <w:szCs w:val="21"/>
                <w:u w:val="none"/>
                <w:lang w:val="en-US" w:eastAsia="zh-CN" w:bidi="ar-SA"/>
              </w:rPr>
            </w:pPr>
            <w:r>
              <w:rPr>
                <w:rFonts w:hint="default" w:ascii="Times New Roman" w:hAnsi="Times New Roman" w:eastAsia="仿宋" w:cs="Times New Roman"/>
                <w:i w:val="0"/>
                <w:iCs w:val="0"/>
                <w:color w:val="000000"/>
                <w:kern w:val="0"/>
                <w:sz w:val="21"/>
                <w:szCs w:val="21"/>
                <w:u w:val="none"/>
                <w:lang w:val="en-US" w:eastAsia="zh-CN" w:bidi="ar"/>
              </w:rPr>
              <w:t>锑，砷，铅，铬，钴，铜，锰，镍及其化合物（以Sb+As+Pb+Cr+Co+Cu+Mn+Ni计）</w:t>
            </w:r>
          </w:p>
        </w:tc>
        <w:tc>
          <w:tcPr>
            <w:tcW w:w="3231"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7</w:t>
            </w:r>
          </w:p>
        </w:tc>
        <w:tc>
          <w:tcPr>
            <w:tcW w:w="2964"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694" w:type="dxa"/>
            <w:tcBorders>
              <w:tl2br w:val="nil"/>
              <w:tr2bl w:val="nil"/>
            </w:tcBorders>
            <w:vAlign w:val="center"/>
          </w:tcPr>
          <w:p>
            <w:pPr>
              <w:keepNext w:val="0"/>
              <w:keepLines w:val="0"/>
              <w:widowControl/>
              <w:suppressLineNumbers w:val="0"/>
              <w:ind w:firstLine="420" w:firstLineChars="200"/>
              <w:jc w:val="center"/>
              <w:textAlignment w:val="center"/>
              <w:rPr>
                <w:rFonts w:hint="default" w:ascii="Times New Roman" w:hAnsi="Times New Roman" w:eastAsia="仿宋" w:cs="Times New Roman"/>
                <w:i w:val="0"/>
                <w:iCs w:val="0"/>
                <w:color w:val="000000"/>
                <w:kern w:val="2"/>
                <w:sz w:val="21"/>
                <w:szCs w:val="21"/>
                <w:u w:val="none"/>
                <w:lang w:val="en-US" w:eastAsia="zh-CN" w:bidi="ar-SA"/>
              </w:rPr>
            </w:pPr>
            <w:r>
              <w:rPr>
                <w:rFonts w:hint="default" w:ascii="Times New Roman" w:hAnsi="Times New Roman" w:eastAsia="仿宋" w:cs="Times New Roman"/>
                <w:i w:val="0"/>
                <w:iCs w:val="0"/>
                <w:color w:val="000000"/>
                <w:kern w:val="0"/>
                <w:sz w:val="21"/>
                <w:szCs w:val="21"/>
                <w:u w:val="none"/>
                <w:lang w:val="en-US" w:eastAsia="zh-CN" w:bidi="ar"/>
              </w:rPr>
              <w:t>铬酸雾</w:t>
            </w:r>
          </w:p>
        </w:tc>
        <w:tc>
          <w:tcPr>
            <w:tcW w:w="3231" w:type="dxa"/>
            <w:tcBorders>
              <w:tl2br w:val="nil"/>
              <w:tr2bl w:val="nil"/>
            </w:tcBorders>
            <w:vAlign w:val="top"/>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2</w:t>
            </w:r>
          </w:p>
        </w:tc>
        <w:tc>
          <w:tcPr>
            <w:tcW w:w="2964" w:type="dxa"/>
            <w:tcBorders>
              <w:tl2br w:val="nil"/>
              <w:tr2bl w:val="nil"/>
            </w:tcBorders>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694" w:type="dxa"/>
            <w:tcBorders>
              <w:tl2br w:val="nil"/>
              <w:tr2bl w:val="nil"/>
            </w:tcBorders>
            <w:vAlign w:val="center"/>
          </w:tcPr>
          <w:p>
            <w:pPr>
              <w:keepNext w:val="0"/>
              <w:keepLines w:val="0"/>
              <w:widowControl/>
              <w:suppressLineNumbers w:val="0"/>
              <w:ind w:firstLine="420" w:firstLineChars="200"/>
              <w:jc w:val="center"/>
              <w:textAlignment w:val="center"/>
              <w:rPr>
                <w:rFonts w:hint="default" w:ascii="Times New Roman" w:hAnsi="Times New Roman" w:eastAsia="仿宋" w:cs="Times New Roman"/>
                <w:i w:val="0"/>
                <w:iCs w:val="0"/>
                <w:color w:val="000000"/>
                <w:kern w:val="2"/>
                <w:sz w:val="21"/>
                <w:szCs w:val="21"/>
                <w:u w:val="none"/>
                <w:lang w:val="en-US" w:eastAsia="zh-CN" w:bidi="ar-SA"/>
              </w:rPr>
            </w:pPr>
            <w:r>
              <w:rPr>
                <w:rFonts w:hint="default" w:ascii="Times New Roman" w:hAnsi="Times New Roman" w:eastAsia="仿宋" w:cs="Times New Roman"/>
                <w:i w:val="0"/>
                <w:iCs w:val="0"/>
                <w:color w:val="000000"/>
                <w:kern w:val="0"/>
                <w:sz w:val="21"/>
                <w:szCs w:val="21"/>
                <w:u w:val="none"/>
                <w:lang w:val="en-US" w:eastAsia="zh-CN" w:bidi="ar"/>
              </w:rPr>
              <w:t>汞及其化合物</w:t>
            </w:r>
          </w:p>
        </w:tc>
        <w:tc>
          <w:tcPr>
            <w:tcW w:w="3231" w:type="dxa"/>
            <w:tcBorders>
              <w:tl2br w:val="nil"/>
              <w:tr2bl w:val="nil"/>
            </w:tcBorders>
            <w:vAlign w:val="top"/>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95</w:t>
            </w:r>
          </w:p>
        </w:tc>
        <w:tc>
          <w:tcPr>
            <w:tcW w:w="2964" w:type="dxa"/>
            <w:tcBorders>
              <w:tl2br w:val="nil"/>
              <w:tr2bl w:val="nil"/>
            </w:tcBorders>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694" w:type="dxa"/>
            <w:tcBorders>
              <w:tl2br w:val="nil"/>
              <w:tr2bl w:val="nil"/>
            </w:tcBorders>
            <w:vAlign w:val="center"/>
          </w:tcPr>
          <w:p>
            <w:pPr>
              <w:keepNext w:val="0"/>
              <w:keepLines w:val="0"/>
              <w:widowControl/>
              <w:suppressLineNumbers w:val="0"/>
              <w:ind w:firstLine="420" w:firstLineChars="200"/>
              <w:jc w:val="center"/>
              <w:textAlignment w:val="center"/>
              <w:rPr>
                <w:rFonts w:hint="default" w:ascii="Times New Roman" w:hAnsi="Times New Roman" w:eastAsia="仿宋" w:cs="Times New Roman"/>
                <w:i w:val="0"/>
                <w:iCs w:val="0"/>
                <w:color w:val="000000"/>
                <w:kern w:val="2"/>
                <w:sz w:val="21"/>
                <w:szCs w:val="21"/>
                <w:u w:val="none"/>
                <w:lang w:val="en-US" w:eastAsia="zh-CN" w:bidi="ar-SA"/>
              </w:rPr>
            </w:pPr>
            <w:r>
              <w:rPr>
                <w:rFonts w:hint="default" w:ascii="Times New Roman" w:hAnsi="Times New Roman" w:eastAsia="仿宋" w:cs="Times New Roman"/>
                <w:i w:val="0"/>
                <w:iCs w:val="0"/>
                <w:color w:val="000000"/>
                <w:kern w:val="0"/>
                <w:sz w:val="21"/>
                <w:szCs w:val="21"/>
                <w:u w:val="none"/>
                <w:lang w:val="en-US" w:eastAsia="zh-CN" w:bidi="ar"/>
              </w:rPr>
              <w:t>挥发性有机物</w:t>
            </w:r>
          </w:p>
        </w:tc>
        <w:tc>
          <w:tcPr>
            <w:tcW w:w="3231" w:type="dxa"/>
            <w:tcBorders>
              <w:tl2br w:val="nil"/>
              <w:tr2bl w:val="nil"/>
            </w:tcBorders>
            <w:vAlign w:val="top"/>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8</w:t>
            </w:r>
          </w:p>
        </w:tc>
        <w:tc>
          <w:tcPr>
            <w:tcW w:w="2964" w:type="dxa"/>
            <w:tcBorders>
              <w:tl2br w:val="nil"/>
              <w:tr2bl w:val="nil"/>
            </w:tcBorders>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694" w:type="dxa"/>
            <w:tcBorders>
              <w:tl2br w:val="nil"/>
              <w:tr2bl w:val="nil"/>
            </w:tcBorders>
            <w:vAlign w:val="center"/>
          </w:tcPr>
          <w:p>
            <w:pPr>
              <w:keepNext w:val="0"/>
              <w:keepLines w:val="0"/>
              <w:widowControl/>
              <w:suppressLineNumbers w:val="0"/>
              <w:ind w:firstLine="420" w:firstLineChars="200"/>
              <w:jc w:val="center"/>
              <w:textAlignment w:val="center"/>
              <w:rPr>
                <w:rFonts w:hint="default" w:ascii="Times New Roman" w:hAnsi="Times New Roman" w:eastAsia="仿宋" w:cs="Times New Roman"/>
                <w:i w:val="0"/>
                <w:iCs w:val="0"/>
                <w:color w:val="000000"/>
                <w:kern w:val="2"/>
                <w:sz w:val="21"/>
                <w:szCs w:val="21"/>
                <w:u w:val="none"/>
                <w:lang w:val="en-US" w:eastAsia="zh-CN" w:bidi="ar-SA"/>
              </w:rPr>
            </w:pPr>
            <w:r>
              <w:rPr>
                <w:rFonts w:hint="default" w:ascii="Times New Roman" w:hAnsi="Times New Roman" w:eastAsia="仿宋" w:cs="Times New Roman"/>
                <w:i w:val="0"/>
                <w:iCs w:val="0"/>
                <w:color w:val="000000"/>
                <w:kern w:val="0"/>
                <w:sz w:val="21"/>
                <w:szCs w:val="21"/>
                <w:u w:val="none"/>
                <w:lang w:val="en-US" w:eastAsia="zh-CN" w:bidi="ar"/>
              </w:rPr>
              <w:t>甲苯</w:t>
            </w:r>
          </w:p>
        </w:tc>
        <w:tc>
          <w:tcPr>
            <w:tcW w:w="3231" w:type="dxa"/>
            <w:tcBorders>
              <w:tl2br w:val="nil"/>
              <w:tr2bl w:val="nil"/>
            </w:tcBorders>
            <w:vAlign w:val="top"/>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3</w:t>
            </w:r>
          </w:p>
        </w:tc>
        <w:tc>
          <w:tcPr>
            <w:tcW w:w="2964" w:type="dxa"/>
            <w:tcBorders>
              <w:tl2br w:val="nil"/>
              <w:tr2bl w:val="nil"/>
            </w:tcBorders>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694" w:type="dxa"/>
            <w:tcBorders>
              <w:tl2br w:val="nil"/>
              <w:tr2bl w:val="nil"/>
            </w:tcBorders>
            <w:vAlign w:val="center"/>
          </w:tcPr>
          <w:p>
            <w:pPr>
              <w:keepNext w:val="0"/>
              <w:keepLines w:val="0"/>
              <w:widowControl/>
              <w:suppressLineNumbers w:val="0"/>
              <w:ind w:firstLine="420" w:firstLineChars="200"/>
              <w:jc w:val="center"/>
              <w:textAlignment w:val="center"/>
              <w:rPr>
                <w:rFonts w:hint="default" w:ascii="Times New Roman" w:hAnsi="Times New Roman" w:eastAsia="仿宋" w:cs="Times New Roman"/>
                <w:i w:val="0"/>
                <w:iCs w:val="0"/>
                <w:color w:val="000000"/>
                <w:kern w:val="2"/>
                <w:sz w:val="21"/>
                <w:szCs w:val="21"/>
                <w:u w:val="none"/>
                <w:lang w:val="en-US" w:eastAsia="zh-CN" w:bidi="ar-SA"/>
              </w:rPr>
            </w:pPr>
            <w:r>
              <w:rPr>
                <w:rFonts w:hint="default" w:ascii="Times New Roman" w:hAnsi="Times New Roman" w:eastAsia="仿宋" w:cs="Times New Roman"/>
                <w:i w:val="0"/>
                <w:iCs w:val="0"/>
                <w:color w:val="000000"/>
                <w:kern w:val="0"/>
                <w:sz w:val="21"/>
                <w:szCs w:val="21"/>
                <w:u w:val="none"/>
                <w:lang w:val="en-US" w:eastAsia="zh-CN" w:bidi="ar"/>
              </w:rPr>
              <w:t>颗粒物</w:t>
            </w:r>
          </w:p>
        </w:tc>
        <w:tc>
          <w:tcPr>
            <w:tcW w:w="3231" w:type="dxa"/>
            <w:tcBorders>
              <w:tl2br w:val="nil"/>
              <w:tr2bl w:val="nil"/>
            </w:tcBorders>
            <w:vAlign w:val="top"/>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227</w:t>
            </w:r>
          </w:p>
        </w:tc>
        <w:tc>
          <w:tcPr>
            <w:tcW w:w="2964" w:type="dxa"/>
            <w:tcBorders>
              <w:tl2br w:val="nil"/>
              <w:tr2bl w:val="nil"/>
            </w:tcBorders>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694" w:type="dxa"/>
            <w:tcBorders>
              <w:tl2br w:val="nil"/>
              <w:tr2bl w:val="nil"/>
            </w:tcBorders>
            <w:vAlign w:val="center"/>
          </w:tcPr>
          <w:p>
            <w:pPr>
              <w:keepNext w:val="0"/>
              <w:keepLines w:val="0"/>
              <w:widowControl/>
              <w:suppressLineNumbers w:val="0"/>
              <w:ind w:firstLine="420" w:firstLineChars="200"/>
              <w:jc w:val="center"/>
              <w:textAlignment w:val="center"/>
              <w:rPr>
                <w:rFonts w:hint="default" w:ascii="Times New Roman" w:hAnsi="Times New Roman" w:eastAsia="仿宋" w:cs="Times New Roman"/>
                <w:i w:val="0"/>
                <w:iCs w:val="0"/>
                <w:color w:val="000000"/>
                <w:kern w:val="2"/>
                <w:sz w:val="21"/>
                <w:szCs w:val="21"/>
                <w:u w:val="none"/>
                <w:lang w:val="en-US" w:eastAsia="zh-CN" w:bidi="ar-SA"/>
              </w:rPr>
            </w:pPr>
            <w:r>
              <w:rPr>
                <w:rFonts w:hint="default" w:ascii="Times New Roman" w:hAnsi="Times New Roman" w:eastAsia="仿宋" w:cs="Times New Roman"/>
                <w:i w:val="0"/>
                <w:iCs w:val="0"/>
                <w:color w:val="000000"/>
                <w:kern w:val="0"/>
                <w:sz w:val="21"/>
                <w:szCs w:val="21"/>
                <w:u w:val="none"/>
                <w:lang w:val="en-US" w:eastAsia="zh-CN" w:bidi="ar"/>
              </w:rPr>
              <w:t>沥青烟</w:t>
            </w:r>
          </w:p>
        </w:tc>
        <w:tc>
          <w:tcPr>
            <w:tcW w:w="3231" w:type="dxa"/>
            <w:tcBorders>
              <w:tl2br w:val="nil"/>
              <w:tr2bl w:val="nil"/>
            </w:tcBorders>
            <w:vAlign w:val="top"/>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7</w:t>
            </w:r>
          </w:p>
        </w:tc>
        <w:tc>
          <w:tcPr>
            <w:tcW w:w="2964" w:type="dxa"/>
            <w:tcBorders>
              <w:tl2br w:val="nil"/>
              <w:tr2bl w:val="nil"/>
            </w:tcBorders>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694" w:type="dxa"/>
            <w:tcBorders>
              <w:tl2br w:val="nil"/>
              <w:tr2bl w:val="nil"/>
            </w:tcBorders>
            <w:vAlign w:val="center"/>
          </w:tcPr>
          <w:p>
            <w:pPr>
              <w:keepNext w:val="0"/>
              <w:keepLines w:val="0"/>
              <w:widowControl/>
              <w:suppressLineNumbers w:val="0"/>
              <w:ind w:firstLine="420" w:firstLineChars="200"/>
              <w:jc w:val="center"/>
              <w:textAlignment w:val="center"/>
              <w:rPr>
                <w:rFonts w:hint="default" w:ascii="Times New Roman" w:hAnsi="Times New Roman" w:eastAsia="仿宋" w:cs="Times New Roman"/>
                <w:i w:val="0"/>
                <w:iCs w:val="0"/>
                <w:color w:val="000000"/>
                <w:kern w:val="2"/>
                <w:sz w:val="21"/>
                <w:szCs w:val="21"/>
                <w:u w:val="none"/>
                <w:lang w:val="en-US" w:eastAsia="zh-CN" w:bidi="ar-SA"/>
              </w:rPr>
            </w:pPr>
            <w:r>
              <w:rPr>
                <w:rFonts w:hint="default" w:ascii="Times New Roman" w:hAnsi="Times New Roman" w:eastAsia="仿宋" w:cs="Times New Roman"/>
                <w:i w:val="0"/>
                <w:iCs w:val="0"/>
                <w:color w:val="000000"/>
                <w:kern w:val="0"/>
                <w:sz w:val="21"/>
                <w:szCs w:val="21"/>
                <w:u w:val="none"/>
                <w:lang w:val="en-US" w:eastAsia="zh-CN" w:bidi="ar"/>
              </w:rPr>
              <w:t>林格曼黑度</w:t>
            </w:r>
          </w:p>
        </w:tc>
        <w:tc>
          <w:tcPr>
            <w:tcW w:w="3231" w:type="dxa"/>
            <w:tcBorders>
              <w:tl2br w:val="nil"/>
              <w:tr2bl w:val="nil"/>
            </w:tcBorders>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111</w:t>
            </w:r>
          </w:p>
        </w:tc>
        <w:tc>
          <w:tcPr>
            <w:tcW w:w="2964" w:type="dxa"/>
            <w:tcBorders>
              <w:tl2br w:val="nil"/>
              <w:tr2bl w:val="nil"/>
            </w:tcBorders>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694" w:type="dxa"/>
            <w:tcBorders>
              <w:tl2br w:val="nil"/>
              <w:tr2bl w:val="nil"/>
            </w:tcBorders>
            <w:vAlign w:val="center"/>
          </w:tcPr>
          <w:p>
            <w:pPr>
              <w:keepNext w:val="0"/>
              <w:keepLines w:val="0"/>
              <w:widowControl/>
              <w:suppressLineNumbers w:val="0"/>
              <w:ind w:firstLine="420" w:firstLineChars="200"/>
              <w:jc w:val="center"/>
              <w:textAlignment w:val="center"/>
              <w:rPr>
                <w:rFonts w:hint="default" w:ascii="Times New Roman" w:hAnsi="Times New Roman" w:eastAsia="仿宋" w:cs="Times New Roman"/>
                <w:i w:val="0"/>
                <w:iCs w:val="0"/>
                <w:color w:val="000000"/>
                <w:kern w:val="2"/>
                <w:sz w:val="21"/>
                <w:szCs w:val="21"/>
                <w:u w:val="none"/>
                <w:lang w:val="en-US" w:eastAsia="zh-CN" w:bidi="ar-SA"/>
              </w:rPr>
            </w:pPr>
            <w:r>
              <w:rPr>
                <w:rFonts w:hint="default" w:ascii="Times New Roman" w:hAnsi="Times New Roman" w:eastAsia="仿宋" w:cs="Times New Roman"/>
                <w:i w:val="0"/>
                <w:iCs w:val="0"/>
                <w:color w:val="000000"/>
                <w:kern w:val="0"/>
                <w:sz w:val="21"/>
                <w:szCs w:val="21"/>
                <w:u w:val="none"/>
                <w:lang w:val="en-US" w:eastAsia="zh-CN" w:bidi="ar"/>
              </w:rPr>
              <w:t>硫化氢</w:t>
            </w:r>
          </w:p>
        </w:tc>
        <w:tc>
          <w:tcPr>
            <w:tcW w:w="3231" w:type="dxa"/>
            <w:tcBorders>
              <w:tl2br w:val="nil"/>
              <w:tr2bl w:val="nil"/>
            </w:tcBorders>
            <w:vAlign w:val="top"/>
          </w:tcPr>
          <w:p>
            <w:pPr>
              <w:ind w:left="0" w:leftChars="0" w:firstLine="0" w:firstLineChars="0"/>
              <w:jc w:val="center"/>
              <w:rPr>
                <w:rFonts w:hint="default" w:ascii="Times New Roman" w:hAnsi="Times New Roman" w:eastAsia="仿宋" w:cs="Times New Roman"/>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color w:val="000000" w:themeColor="text1"/>
                <w:kern w:val="2"/>
                <w:sz w:val="21"/>
                <w:szCs w:val="21"/>
                <w:vertAlign w:val="baseline"/>
                <w:lang w:val="en-US" w:eastAsia="zh-CN" w:bidi="ar-SA"/>
                <w14:textFill>
                  <w14:solidFill>
                    <w14:schemeClr w14:val="tx1"/>
                  </w14:solidFill>
                </w14:textFill>
              </w:rPr>
              <w:t>11</w:t>
            </w:r>
          </w:p>
        </w:tc>
        <w:tc>
          <w:tcPr>
            <w:tcW w:w="2964" w:type="dxa"/>
            <w:tcBorders>
              <w:tl2br w:val="nil"/>
              <w:tr2bl w:val="nil"/>
            </w:tcBorders>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694" w:type="dxa"/>
            <w:tcBorders>
              <w:tl2br w:val="nil"/>
              <w:tr2bl w:val="nil"/>
            </w:tcBorders>
            <w:vAlign w:val="center"/>
          </w:tcPr>
          <w:p>
            <w:pPr>
              <w:keepNext w:val="0"/>
              <w:keepLines w:val="0"/>
              <w:widowControl/>
              <w:suppressLineNumbers w:val="0"/>
              <w:ind w:firstLine="420" w:firstLineChars="200"/>
              <w:jc w:val="center"/>
              <w:textAlignment w:val="center"/>
              <w:rPr>
                <w:rFonts w:hint="default" w:ascii="Times New Roman" w:hAnsi="Times New Roman" w:eastAsia="仿宋" w:cs="Times New Roman"/>
                <w:i w:val="0"/>
                <w:iCs w:val="0"/>
                <w:color w:val="000000"/>
                <w:kern w:val="2"/>
                <w:sz w:val="21"/>
                <w:szCs w:val="21"/>
                <w:u w:val="none"/>
                <w:lang w:val="en-US" w:eastAsia="zh-CN" w:bidi="ar-SA"/>
              </w:rPr>
            </w:pPr>
            <w:r>
              <w:rPr>
                <w:rFonts w:hint="default" w:ascii="Times New Roman" w:hAnsi="Times New Roman" w:eastAsia="仿宋" w:cs="Times New Roman"/>
                <w:i w:val="0"/>
                <w:iCs w:val="0"/>
                <w:color w:val="000000"/>
                <w:kern w:val="0"/>
                <w:sz w:val="21"/>
                <w:szCs w:val="21"/>
                <w:u w:val="none"/>
                <w:lang w:val="en-US" w:eastAsia="zh-CN" w:bidi="ar"/>
              </w:rPr>
              <w:t>硫酸雾</w:t>
            </w:r>
          </w:p>
        </w:tc>
        <w:tc>
          <w:tcPr>
            <w:tcW w:w="3231" w:type="dxa"/>
            <w:tcBorders>
              <w:tl2br w:val="nil"/>
              <w:tr2bl w:val="nil"/>
            </w:tcBorders>
            <w:vAlign w:val="top"/>
          </w:tcPr>
          <w:p>
            <w:pPr>
              <w:ind w:left="0" w:leftChars="0" w:firstLine="0" w:firstLineChars="0"/>
              <w:jc w:val="center"/>
              <w:rPr>
                <w:rFonts w:hint="default" w:ascii="Times New Roman" w:hAnsi="Times New Roman" w:eastAsia="仿宋" w:cs="Times New Roman"/>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color w:val="000000" w:themeColor="text1"/>
                <w:kern w:val="2"/>
                <w:sz w:val="21"/>
                <w:szCs w:val="21"/>
                <w:vertAlign w:val="baseline"/>
                <w:lang w:val="en-US" w:eastAsia="zh-CN" w:bidi="ar-SA"/>
                <w14:textFill>
                  <w14:solidFill>
                    <w14:schemeClr w14:val="tx1"/>
                  </w14:solidFill>
                </w14:textFill>
              </w:rPr>
              <w:t>5</w:t>
            </w:r>
          </w:p>
        </w:tc>
        <w:tc>
          <w:tcPr>
            <w:tcW w:w="2964" w:type="dxa"/>
            <w:tcBorders>
              <w:tl2br w:val="nil"/>
              <w:tr2bl w:val="nil"/>
            </w:tcBorders>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694" w:type="dxa"/>
            <w:tcBorders>
              <w:tl2br w:val="nil"/>
              <w:tr2bl w:val="nil"/>
            </w:tcBorders>
            <w:vAlign w:val="center"/>
          </w:tcPr>
          <w:p>
            <w:pPr>
              <w:keepNext w:val="0"/>
              <w:keepLines w:val="0"/>
              <w:widowControl/>
              <w:suppressLineNumbers w:val="0"/>
              <w:ind w:firstLine="420" w:firstLineChars="200"/>
              <w:jc w:val="center"/>
              <w:textAlignment w:val="center"/>
              <w:rPr>
                <w:rFonts w:hint="default" w:ascii="Times New Roman" w:hAnsi="Times New Roman" w:eastAsia="仿宋" w:cs="Times New Roman"/>
                <w:i w:val="0"/>
                <w:iCs w:val="0"/>
                <w:color w:val="000000"/>
                <w:kern w:val="2"/>
                <w:sz w:val="21"/>
                <w:szCs w:val="21"/>
                <w:u w:val="none"/>
                <w:lang w:val="en-US" w:eastAsia="zh-CN" w:bidi="ar-SA"/>
              </w:rPr>
            </w:pPr>
            <w:r>
              <w:rPr>
                <w:rFonts w:hint="default" w:ascii="Times New Roman" w:hAnsi="Times New Roman" w:eastAsia="仿宋" w:cs="Times New Roman"/>
                <w:i w:val="0"/>
                <w:iCs w:val="0"/>
                <w:color w:val="000000"/>
                <w:kern w:val="0"/>
                <w:sz w:val="21"/>
                <w:szCs w:val="21"/>
                <w:u w:val="none"/>
                <w:lang w:val="en-US" w:eastAsia="zh-CN" w:bidi="ar"/>
              </w:rPr>
              <w:t>氯化氢</w:t>
            </w:r>
          </w:p>
        </w:tc>
        <w:tc>
          <w:tcPr>
            <w:tcW w:w="3231" w:type="dxa"/>
            <w:tcBorders>
              <w:tl2br w:val="nil"/>
              <w:tr2bl w:val="nil"/>
            </w:tcBorders>
            <w:vAlign w:val="top"/>
          </w:tcPr>
          <w:p>
            <w:pPr>
              <w:ind w:left="0" w:leftChars="0" w:firstLine="0" w:firstLineChars="0"/>
              <w:jc w:val="center"/>
              <w:rPr>
                <w:rFonts w:hint="default" w:ascii="Times New Roman" w:hAnsi="Times New Roman" w:eastAsia="仿宋" w:cs="Times New Roman"/>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color w:val="000000" w:themeColor="text1"/>
                <w:kern w:val="2"/>
                <w:sz w:val="21"/>
                <w:szCs w:val="21"/>
                <w:vertAlign w:val="baseline"/>
                <w:lang w:val="en-US" w:eastAsia="zh-CN" w:bidi="ar-SA"/>
                <w14:textFill>
                  <w14:solidFill>
                    <w14:schemeClr w14:val="tx1"/>
                  </w14:solidFill>
                </w14:textFill>
              </w:rPr>
              <w:t>12</w:t>
            </w:r>
          </w:p>
        </w:tc>
        <w:tc>
          <w:tcPr>
            <w:tcW w:w="2964" w:type="dxa"/>
            <w:tcBorders>
              <w:tl2br w:val="nil"/>
              <w:tr2bl w:val="nil"/>
            </w:tcBorders>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694" w:type="dxa"/>
            <w:tcBorders>
              <w:tl2br w:val="nil"/>
              <w:tr2bl w:val="nil"/>
            </w:tcBorders>
            <w:vAlign w:val="center"/>
          </w:tcPr>
          <w:p>
            <w:pPr>
              <w:keepNext w:val="0"/>
              <w:keepLines w:val="0"/>
              <w:widowControl/>
              <w:suppressLineNumbers w:val="0"/>
              <w:ind w:firstLine="420" w:firstLineChars="200"/>
              <w:jc w:val="center"/>
              <w:textAlignment w:val="center"/>
              <w:rPr>
                <w:rFonts w:hint="default" w:ascii="Times New Roman" w:hAnsi="Times New Roman" w:eastAsia="仿宋" w:cs="Times New Roman"/>
                <w:i w:val="0"/>
                <w:iCs w:val="0"/>
                <w:color w:val="000000"/>
                <w:kern w:val="2"/>
                <w:sz w:val="21"/>
                <w:szCs w:val="21"/>
                <w:u w:val="none"/>
                <w:lang w:val="en-US" w:eastAsia="zh-CN" w:bidi="ar-SA"/>
              </w:rPr>
            </w:pPr>
            <w:r>
              <w:rPr>
                <w:rFonts w:hint="default" w:ascii="Times New Roman" w:hAnsi="Times New Roman" w:eastAsia="仿宋" w:cs="Times New Roman"/>
                <w:i w:val="0"/>
                <w:iCs w:val="0"/>
                <w:color w:val="000000"/>
                <w:kern w:val="0"/>
                <w:sz w:val="21"/>
                <w:szCs w:val="21"/>
                <w:u w:val="none"/>
                <w:lang w:val="en-US" w:eastAsia="zh-CN" w:bidi="ar"/>
              </w:rPr>
              <w:t>镍及其化合物</w:t>
            </w:r>
          </w:p>
        </w:tc>
        <w:tc>
          <w:tcPr>
            <w:tcW w:w="3231" w:type="dxa"/>
            <w:tcBorders>
              <w:tl2br w:val="nil"/>
              <w:tr2bl w:val="nil"/>
            </w:tcBorders>
            <w:vAlign w:val="top"/>
          </w:tcPr>
          <w:p>
            <w:pPr>
              <w:ind w:left="0" w:leftChars="0" w:firstLine="0" w:firstLineChars="0"/>
              <w:jc w:val="center"/>
              <w:rPr>
                <w:rFonts w:hint="default" w:ascii="Times New Roman" w:hAnsi="Times New Roman" w:eastAsia="仿宋" w:cs="Times New Roman"/>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color w:val="000000" w:themeColor="text1"/>
                <w:kern w:val="2"/>
                <w:sz w:val="21"/>
                <w:szCs w:val="21"/>
                <w:vertAlign w:val="baseline"/>
                <w:lang w:val="en-US" w:eastAsia="zh-CN" w:bidi="ar-SA"/>
                <w14:textFill>
                  <w14:solidFill>
                    <w14:schemeClr w14:val="tx1"/>
                  </w14:solidFill>
                </w14:textFill>
              </w:rPr>
              <w:t>1</w:t>
            </w:r>
          </w:p>
        </w:tc>
        <w:tc>
          <w:tcPr>
            <w:tcW w:w="2964" w:type="dxa"/>
            <w:tcBorders>
              <w:tl2br w:val="nil"/>
              <w:tr2bl w:val="nil"/>
            </w:tcBorders>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694" w:type="dxa"/>
            <w:tcBorders>
              <w:tl2br w:val="nil"/>
              <w:tr2bl w:val="nil"/>
            </w:tcBorders>
            <w:vAlign w:val="center"/>
          </w:tcPr>
          <w:p>
            <w:pPr>
              <w:keepNext w:val="0"/>
              <w:keepLines w:val="0"/>
              <w:widowControl/>
              <w:suppressLineNumbers w:val="0"/>
              <w:ind w:firstLine="420" w:firstLineChars="200"/>
              <w:jc w:val="center"/>
              <w:textAlignment w:val="center"/>
              <w:rPr>
                <w:rFonts w:hint="default" w:ascii="Times New Roman" w:hAnsi="Times New Roman" w:eastAsia="仿宋" w:cs="Times New Roman"/>
                <w:i w:val="0"/>
                <w:iCs w:val="0"/>
                <w:color w:val="000000"/>
                <w:kern w:val="2"/>
                <w:sz w:val="21"/>
                <w:szCs w:val="21"/>
                <w:u w:val="none"/>
                <w:lang w:val="en-US" w:eastAsia="zh-CN" w:bidi="ar-SA"/>
              </w:rPr>
            </w:pPr>
            <w:r>
              <w:rPr>
                <w:rFonts w:hint="default" w:ascii="Times New Roman" w:hAnsi="Times New Roman" w:eastAsia="仿宋" w:cs="Times New Roman"/>
                <w:i w:val="0"/>
                <w:iCs w:val="0"/>
                <w:color w:val="000000"/>
                <w:kern w:val="0"/>
                <w:sz w:val="21"/>
                <w:szCs w:val="21"/>
                <w:u w:val="none"/>
                <w:lang w:val="en-US" w:eastAsia="zh-CN" w:bidi="ar"/>
              </w:rPr>
              <w:t>铅及其化合物</w:t>
            </w:r>
          </w:p>
        </w:tc>
        <w:tc>
          <w:tcPr>
            <w:tcW w:w="3231" w:type="dxa"/>
            <w:tcBorders>
              <w:tl2br w:val="nil"/>
              <w:tr2bl w:val="nil"/>
            </w:tcBorders>
            <w:vAlign w:val="top"/>
          </w:tcPr>
          <w:p>
            <w:pPr>
              <w:ind w:left="0" w:leftChars="0" w:firstLine="0" w:firstLineChars="0"/>
              <w:jc w:val="center"/>
              <w:rPr>
                <w:rFonts w:hint="default" w:ascii="Times New Roman" w:hAnsi="Times New Roman" w:eastAsia="仿宋" w:cs="Times New Roman"/>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color w:val="000000" w:themeColor="text1"/>
                <w:kern w:val="2"/>
                <w:sz w:val="21"/>
                <w:szCs w:val="21"/>
                <w:vertAlign w:val="baseline"/>
                <w:lang w:val="en-US" w:eastAsia="zh-CN" w:bidi="ar-SA"/>
                <w14:textFill>
                  <w14:solidFill>
                    <w14:schemeClr w14:val="tx1"/>
                  </w14:solidFill>
                </w14:textFill>
              </w:rPr>
              <w:t>1</w:t>
            </w:r>
          </w:p>
        </w:tc>
        <w:tc>
          <w:tcPr>
            <w:tcW w:w="2964" w:type="dxa"/>
            <w:tcBorders>
              <w:tl2br w:val="nil"/>
              <w:tr2bl w:val="nil"/>
            </w:tcBorders>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694" w:type="dxa"/>
            <w:tcBorders>
              <w:tl2br w:val="nil"/>
              <w:tr2bl w:val="nil"/>
            </w:tcBorders>
            <w:vAlign w:val="center"/>
          </w:tcPr>
          <w:p>
            <w:pPr>
              <w:keepNext w:val="0"/>
              <w:keepLines w:val="0"/>
              <w:widowControl/>
              <w:suppressLineNumbers w:val="0"/>
              <w:ind w:firstLine="420" w:firstLineChars="200"/>
              <w:jc w:val="center"/>
              <w:textAlignment w:val="center"/>
              <w:rPr>
                <w:rFonts w:hint="default" w:ascii="Times New Roman" w:hAnsi="Times New Roman" w:eastAsia="仿宋" w:cs="Times New Roman"/>
                <w:i w:val="0"/>
                <w:iCs w:val="0"/>
                <w:color w:val="000000"/>
                <w:kern w:val="2"/>
                <w:sz w:val="21"/>
                <w:szCs w:val="21"/>
                <w:u w:val="none"/>
                <w:lang w:val="en-US" w:eastAsia="zh-CN" w:bidi="ar-SA"/>
              </w:rPr>
            </w:pPr>
            <w:r>
              <w:rPr>
                <w:rFonts w:hint="default" w:ascii="Times New Roman" w:hAnsi="Times New Roman" w:eastAsia="仿宋" w:cs="Times New Roman"/>
                <w:i w:val="0"/>
                <w:iCs w:val="0"/>
                <w:color w:val="000000"/>
                <w:kern w:val="0"/>
                <w:sz w:val="21"/>
                <w:szCs w:val="21"/>
                <w:u w:val="none"/>
                <w:lang w:val="en-US" w:eastAsia="zh-CN" w:bidi="ar"/>
              </w:rPr>
              <w:t>氰化氢</w:t>
            </w:r>
          </w:p>
        </w:tc>
        <w:tc>
          <w:tcPr>
            <w:tcW w:w="3231" w:type="dxa"/>
            <w:tcBorders>
              <w:tl2br w:val="nil"/>
              <w:tr2bl w:val="nil"/>
            </w:tcBorders>
            <w:vAlign w:val="top"/>
          </w:tcPr>
          <w:p>
            <w:pPr>
              <w:ind w:left="0" w:leftChars="0" w:firstLine="0" w:firstLineChars="0"/>
              <w:jc w:val="center"/>
              <w:rPr>
                <w:rFonts w:hint="default" w:ascii="Times New Roman" w:hAnsi="Times New Roman" w:eastAsia="仿宋" w:cs="Times New Roman"/>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color w:val="000000" w:themeColor="text1"/>
                <w:kern w:val="2"/>
                <w:sz w:val="21"/>
                <w:szCs w:val="21"/>
                <w:vertAlign w:val="baseline"/>
                <w:lang w:val="en-US" w:eastAsia="zh-CN" w:bidi="ar-SA"/>
                <w14:textFill>
                  <w14:solidFill>
                    <w14:schemeClr w14:val="tx1"/>
                  </w14:solidFill>
                </w14:textFill>
              </w:rPr>
              <w:t>1</w:t>
            </w:r>
          </w:p>
        </w:tc>
        <w:tc>
          <w:tcPr>
            <w:tcW w:w="2964" w:type="dxa"/>
            <w:tcBorders>
              <w:tl2br w:val="nil"/>
              <w:tr2bl w:val="nil"/>
            </w:tcBorders>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694" w:type="dxa"/>
            <w:tcBorders>
              <w:tl2br w:val="nil"/>
              <w:tr2bl w:val="nil"/>
            </w:tcBorders>
            <w:vAlign w:val="center"/>
          </w:tcPr>
          <w:p>
            <w:pPr>
              <w:keepNext w:val="0"/>
              <w:keepLines w:val="0"/>
              <w:widowControl/>
              <w:suppressLineNumbers w:val="0"/>
              <w:ind w:firstLine="420" w:firstLineChars="200"/>
              <w:jc w:val="center"/>
              <w:textAlignment w:val="center"/>
              <w:rPr>
                <w:rFonts w:hint="default" w:ascii="Times New Roman" w:hAnsi="Times New Roman" w:eastAsia="仿宋" w:cs="Times New Roman"/>
                <w:i w:val="0"/>
                <w:iCs w:val="0"/>
                <w:color w:val="000000"/>
                <w:kern w:val="2"/>
                <w:sz w:val="21"/>
                <w:szCs w:val="21"/>
                <w:u w:val="none"/>
                <w:lang w:val="en-US" w:eastAsia="zh-CN" w:bidi="ar-SA"/>
              </w:rPr>
            </w:pPr>
            <w:r>
              <w:rPr>
                <w:rFonts w:hint="default" w:ascii="Times New Roman" w:hAnsi="Times New Roman" w:eastAsia="仿宋" w:cs="Times New Roman"/>
                <w:i w:val="0"/>
                <w:iCs w:val="0"/>
                <w:color w:val="000000"/>
                <w:kern w:val="0"/>
                <w:sz w:val="21"/>
                <w:szCs w:val="21"/>
                <w:u w:val="none"/>
                <w:lang w:val="en-US" w:eastAsia="zh-CN" w:bidi="ar"/>
              </w:rPr>
              <w:t>烟尘</w:t>
            </w:r>
          </w:p>
        </w:tc>
        <w:tc>
          <w:tcPr>
            <w:tcW w:w="3231" w:type="dxa"/>
            <w:tcBorders>
              <w:tl2br w:val="nil"/>
              <w:tr2bl w:val="nil"/>
            </w:tcBorders>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40</w:t>
            </w:r>
          </w:p>
        </w:tc>
        <w:tc>
          <w:tcPr>
            <w:tcW w:w="2964" w:type="dxa"/>
            <w:tcBorders>
              <w:tl2br w:val="nil"/>
              <w:tr2bl w:val="nil"/>
            </w:tcBorders>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97.5%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694" w:type="dxa"/>
            <w:tcBorders>
              <w:tl2br w:val="nil"/>
              <w:tr2bl w:val="nil"/>
            </w:tcBorders>
            <w:vAlign w:val="center"/>
          </w:tcPr>
          <w:p>
            <w:pPr>
              <w:keepNext w:val="0"/>
              <w:keepLines w:val="0"/>
              <w:widowControl/>
              <w:suppressLineNumbers w:val="0"/>
              <w:ind w:firstLine="420" w:firstLineChars="200"/>
              <w:jc w:val="center"/>
              <w:textAlignment w:val="center"/>
              <w:rPr>
                <w:rFonts w:hint="default" w:ascii="Times New Roman" w:hAnsi="Times New Roman" w:eastAsia="仿宋" w:cs="Times New Roman"/>
                <w:i w:val="0"/>
                <w:iCs w:val="0"/>
                <w:color w:val="000000"/>
                <w:kern w:val="2"/>
                <w:sz w:val="21"/>
                <w:szCs w:val="21"/>
                <w:u w:val="none"/>
                <w:lang w:val="en-US" w:eastAsia="zh-CN" w:bidi="ar-SA"/>
              </w:rPr>
            </w:pPr>
            <w:r>
              <w:rPr>
                <w:rFonts w:hint="default" w:ascii="Times New Roman" w:hAnsi="Times New Roman" w:eastAsia="仿宋" w:cs="Times New Roman"/>
                <w:i w:val="0"/>
                <w:iCs w:val="0"/>
                <w:color w:val="000000"/>
                <w:kern w:val="0"/>
                <w:sz w:val="21"/>
                <w:szCs w:val="21"/>
                <w:u w:val="none"/>
                <w:lang w:val="en-US" w:eastAsia="zh-CN" w:bidi="ar"/>
              </w:rPr>
              <w:t>烟气黑度</w:t>
            </w:r>
          </w:p>
        </w:tc>
        <w:tc>
          <w:tcPr>
            <w:tcW w:w="3231" w:type="dxa"/>
            <w:tcBorders>
              <w:tl2br w:val="nil"/>
              <w:tr2bl w:val="nil"/>
            </w:tcBorders>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25</w:t>
            </w:r>
          </w:p>
        </w:tc>
        <w:tc>
          <w:tcPr>
            <w:tcW w:w="2964" w:type="dxa"/>
            <w:tcBorders>
              <w:tl2br w:val="nil"/>
              <w:tr2bl w:val="nil"/>
            </w:tcBorders>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694" w:type="dxa"/>
            <w:tcBorders>
              <w:tl2br w:val="nil"/>
              <w:tr2bl w:val="nil"/>
            </w:tcBorders>
            <w:vAlign w:val="center"/>
          </w:tcPr>
          <w:p>
            <w:pPr>
              <w:keepNext w:val="0"/>
              <w:keepLines w:val="0"/>
              <w:widowControl/>
              <w:suppressLineNumbers w:val="0"/>
              <w:ind w:firstLine="420" w:firstLineChars="200"/>
              <w:jc w:val="center"/>
              <w:textAlignment w:val="center"/>
              <w:rPr>
                <w:rFonts w:hint="default" w:ascii="Times New Roman" w:hAnsi="Times New Roman" w:eastAsia="仿宋" w:cs="Times New Roman"/>
                <w:i w:val="0"/>
                <w:iCs w:val="0"/>
                <w:color w:val="000000"/>
                <w:kern w:val="2"/>
                <w:sz w:val="21"/>
                <w:szCs w:val="21"/>
                <w:u w:val="none"/>
                <w:lang w:val="en-US" w:eastAsia="zh-CN" w:bidi="ar-SA"/>
              </w:rPr>
            </w:pPr>
            <w:r>
              <w:rPr>
                <w:rFonts w:hint="default" w:ascii="Times New Roman" w:hAnsi="Times New Roman" w:eastAsia="仿宋" w:cs="Times New Roman"/>
                <w:i w:val="0"/>
                <w:iCs w:val="0"/>
                <w:color w:val="000000"/>
                <w:kern w:val="0"/>
                <w:sz w:val="21"/>
                <w:szCs w:val="21"/>
                <w:u w:val="none"/>
                <w:lang w:val="en-US" w:eastAsia="zh-CN" w:bidi="ar"/>
              </w:rPr>
              <w:t>一氧化碳</w:t>
            </w:r>
          </w:p>
        </w:tc>
        <w:tc>
          <w:tcPr>
            <w:tcW w:w="3231" w:type="dxa"/>
            <w:tcBorders>
              <w:tl2br w:val="nil"/>
              <w:tr2bl w:val="nil"/>
            </w:tcBorders>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8</w:t>
            </w:r>
          </w:p>
        </w:tc>
        <w:tc>
          <w:tcPr>
            <w:tcW w:w="2964" w:type="dxa"/>
            <w:tcBorders>
              <w:tl2br w:val="nil"/>
              <w:tr2bl w:val="nil"/>
            </w:tcBorders>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bl>
    <w:p>
      <w:pPr>
        <w:spacing w:line="360" w:lineRule="auto"/>
        <w:ind w:firstLine="560" w:firstLineChars="200"/>
        <w:jc w:val="left"/>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全省11个市（州）废气排放监测数据中，长春市废气综合达标率为98.4%，氮氧化物达标率为99.2%，其余各市（州）废气排放、二氧化硫、氮氧化物达标率均为100%，详见图2-6。</w:t>
      </w:r>
    </w:p>
    <w:p>
      <w:pPr>
        <w:spacing w:line="360" w:lineRule="auto"/>
        <w:ind w:left="0" w:leftChars="0" w:firstLine="0" w:firstLineChars="0"/>
        <w:jc w:val="center"/>
        <w:rPr>
          <w:rFonts w:hint="default" w:ascii="Times New Roman" w:hAnsi="Times New Roman" w:cs="Times New Roman"/>
          <w:color w:val="FF0000"/>
          <w:lang w:val="en-US" w:eastAsia="zh-CN"/>
        </w:rPr>
      </w:pPr>
      <w:r>
        <w:rPr>
          <w:rFonts w:hint="default" w:ascii="Times New Roman" w:hAnsi="Times New Roman" w:cs="Times New Roman"/>
        </w:rPr>
        <w:drawing>
          <wp:inline distT="0" distB="0" distL="114300" distR="114300">
            <wp:extent cx="4572000" cy="2607945"/>
            <wp:effectExtent l="0" t="0" r="0" b="0"/>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jc w:val="center"/>
        <w:rPr>
          <w:rFonts w:hint="default" w:ascii="Times New Roman" w:hAnsi="Times New Roman" w:eastAsia="黑体" w:cs="Times New Roman"/>
          <w:b w:val="0"/>
          <w:bCs w:val="0"/>
          <w:color w:val="000000" w:themeColor="text1"/>
          <w:sz w:val="24"/>
          <w:szCs w:val="24"/>
          <w14:textFill>
            <w14:solidFill>
              <w14:schemeClr w14:val="tx1"/>
            </w14:solidFill>
          </w14:textFill>
        </w:rPr>
      </w:pPr>
      <w:r>
        <w:rPr>
          <w:rFonts w:hint="default" w:ascii="Times New Roman" w:hAnsi="Times New Roman" w:eastAsia="黑体" w:cs="Times New Roman"/>
          <w:b w:val="0"/>
          <w:bCs w:val="0"/>
          <w:color w:val="000000" w:themeColor="text1"/>
          <w:sz w:val="24"/>
          <w:szCs w:val="24"/>
          <w:lang w:val="en-US" w:eastAsia="zh-CN"/>
          <w14:textFill>
            <w14:solidFill>
              <w14:schemeClr w14:val="tx1"/>
            </w14:solidFill>
          </w14:textFill>
        </w:rPr>
        <w:t>图2-6  2022年全省废气污染源主要污染物排放达标情况</w:t>
      </w:r>
    </w:p>
    <w:p>
      <w:pPr>
        <w:pStyle w:val="3"/>
        <w:bidi w:val="0"/>
        <w:rPr>
          <w:rFonts w:hint="default" w:ascii="Times New Roman" w:hAnsi="Times New Roman" w:eastAsia="黑体" w:cs="Times New Roman"/>
          <w:b w:val="0"/>
          <w:bCs/>
          <w:sz w:val="28"/>
          <w:szCs w:val="28"/>
          <w:lang w:val="en-US" w:eastAsia="zh-CN"/>
        </w:rPr>
      </w:pPr>
      <w:bookmarkStart w:id="33" w:name="_Toc30514"/>
      <w:bookmarkStart w:id="34" w:name="_Toc15067"/>
      <w:bookmarkStart w:id="35" w:name="_Toc30397"/>
      <w:r>
        <w:rPr>
          <w:rFonts w:hint="default" w:ascii="Times New Roman" w:hAnsi="Times New Roman" w:eastAsia="黑体" w:cs="Times New Roman"/>
          <w:b w:val="0"/>
          <w:bCs/>
          <w:sz w:val="28"/>
          <w:szCs w:val="28"/>
          <w:lang w:val="en-US" w:eastAsia="zh-CN"/>
        </w:rPr>
        <w:t>2.2.4废气污染源执法监测行业排放达标情况</w:t>
      </w:r>
      <w:bookmarkEnd w:id="33"/>
      <w:bookmarkEnd w:id="34"/>
      <w:bookmarkEnd w:id="35"/>
    </w:p>
    <w:p>
      <w:pPr>
        <w:widowControl/>
        <w:adjustRightInd w:val="0"/>
        <w:snapToGrid w:val="0"/>
        <w:spacing w:before="156" w:beforeLines="50" w:after="156" w:afterLines="50"/>
        <w:ind w:firstLine="560" w:firstLineChars="200"/>
        <w:jc w:val="left"/>
        <w:rPr>
          <w:rFonts w:hint="default" w:ascii="Times New Roman" w:hAnsi="Times New Roman" w:cs="Times New Roman"/>
          <w:color w:val="FF0000"/>
          <w:lang w:val="en-US" w:eastAsia="zh-CN"/>
        </w:rPr>
      </w:pPr>
      <w:r>
        <w:rPr>
          <w:rFonts w:hint="default" w:ascii="Times New Roman" w:hAnsi="Times New Roman" w:cs="Times New Roman"/>
          <w:color w:val="000000" w:themeColor="text1"/>
          <w:lang w:val="en-US" w:eastAsia="zh-CN"/>
          <w14:textFill>
            <w14:solidFill>
              <w14:schemeClr w14:val="tx1"/>
            </w14:solidFill>
          </w14:textFill>
        </w:rPr>
        <w:t>全省废气排放企业涉及电力、热力的生产和供应业、非金属矿物制品业等27个行业。监测企业数量最多的行业为电力、热力的生产和供应业，占废气监测企业总数的59.9%；其次为非金属矿物制品业，占监测总数的8.6%；第三为化学原料和化学制品制造业，占监测总数的6.4%，详见图2-7。</w:t>
      </w:r>
      <w:r>
        <w:rPr>
          <w:rFonts w:hint="default" w:ascii="Times New Roman" w:hAnsi="Times New Roman" w:cs="Times New Roman"/>
          <w:color w:val="FF0000"/>
          <w:lang w:val="en-US" w:eastAsia="zh-CN"/>
        </w:rPr>
        <mc:AlternateContent>
          <mc:Choice Requires="wps">
            <w:drawing>
              <wp:anchor distT="0" distB="0" distL="114300" distR="114300" simplePos="0" relativeHeight="251661312" behindDoc="0" locked="0" layoutInCell="1" allowOverlap="1">
                <wp:simplePos x="0" y="0"/>
                <wp:positionH relativeFrom="column">
                  <wp:posOffset>980440</wp:posOffset>
                </wp:positionH>
                <wp:positionV relativeFrom="paragraph">
                  <wp:posOffset>9496425</wp:posOffset>
                </wp:positionV>
                <wp:extent cx="6015355" cy="487680"/>
                <wp:effectExtent l="0" t="0" r="0" b="0"/>
                <wp:wrapNone/>
                <wp:docPr id="1517" name="文本框 7"/>
                <wp:cNvGraphicFramePr/>
                <a:graphic xmlns:a="http://schemas.openxmlformats.org/drawingml/2006/main">
                  <a:graphicData uri="http://schemas.microsoft.com/office/word/2010/wordprocessingShape">
                    <wps:wsp>
                      <wps:cNvSpPr txBox="1">
                        <a:spLocks noChangeArrowheads="1"/>
                      </wps:cNvSpPr>
                      <wps:spPr bwMode="auto">
                        <a:xfrm>
                          <a:off x="0" y="0"/>
                          <a:ext cx="6015355" cy="487680"/>
                        </a:xfrm>
                        <a:prstGeom prst="rect">
                          <a:avLst/>
                        </a:prstGeom>
                        <a:noFill/>
                        <a:ln>
                          <a:noFill/>
                        </a:ln>
                      </wps:spPr>
                      <wps:txbx>
                        <w:txbxContent>
                          <w:p>
                            <w:r>
                              <w:rPr>
                                <w:rFonts w:hint="eastAsia"/>
                              </w:rPr>
                              <w:t>注：[1</w:t>
                            </w:r>
                            <w:r>
                              <w:t>]</w:t>
                            </w:r>
                            <w:r>
                              <w:rPr>
                                <w:rFonts w:hint="eastAsia"/>
                              </w:rPr>
                              <w:t>规模化畜禽养殖场仅排放废水，故在统计监测企业数及评价企业数据时并入废水企业统计，下同。</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id="文本框 7" o:spid="_x0000_s1026" o:spt="202" type="#_x0000_t202" style="position:absolute;left:0pt;margin-left:77.2pt;margin-top:747.75pt;height:38.4pt;width:473.65pt;z-index:251661312;mso-width-relative:page;mso-height-relative:margin;mso-height-percent:200;" filled="f" stroked="f" coordsize="21600,21600" o:gfxdata="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sVBRTZAAAADgEA&#10;AA8AAAAAAAAAAQAgAAAAIgAAAGRycy9kb3ducmV2LnhtbFBLAQIUABQAAAAIAIdO4kA03SdfGQIA&#10;ABgEAAAOAAAAAAAAAAEAIAAAACgBAABkcnMvZTJvRG9jLnhtbFBLBQYAAAAABgAGAFkBAACzBQAA&#10;AAA=&#10;">
                <v:fill on="f" focussize="0,0"/>
                <v:stroke on="f"/>
                <v:imagedata o:title=""/>
                <o:lock v:ext="edit" aspectratio="f"/>
                <v:textbox style="mso-fit-shape-to-text:t;">
                  <w:txbxContent>
                    <w:p>
                      <w:r>
                        <w:rPr>
                          <w:rFonts w:hint="eastAsia"/>
                        </w:rPr>
                        <w:t>注：[1</w:t>
                      </w:r>
                      <w:r>
                        <w:t>]</w:t>
                      </w:r>
                      <w:r>
                        <w:rPr>
                          <w:rFonts w:hint="eastAsia"/>
                        </w:rPr>
                        <w:t>规模化畜禽养殖场仅排放废水，故在统计监测企业数及评价企业数据时并入废水企业统计，下同。</w:t>
                      </w:r>
                    </w:p>
                  </w:txbxContent>
                </v:textbox>
              </v:shape>
            </w:pict>
          </mc:Fallback>
        </mc:AlternateContent>
      </w:r>
      <w:r>
        <w:rPr>
          <w:rFonts w:hint="default" w:ascii="Times New Roman" w:hAnsi="Times New Roman" w:cs="Times New Roman"/>
          <w:color w:val="FF0000"/>
          <w:lang w:val="en-US" w:eastAsia="zh-CN"/>
        </w:rPr>
        <mc:AlternateContent>
          <mc:Choice Requires="wps">
            <w:drawing>
              <wp:anchor distT="0" distB="0" distL="114300" distR="114300" simplePos="0" relativeHeight="251660288" behindDoc="0" locked="0" layoutInCell="1" allowOverlap="1">
                <wp:simplePos x="0" y="0"/>
                <wp:positionH relativeFrom="column">
                  <wp:posOffset>980440</wp:posOffset>
                </wp:positionH>
                <wp:positionV relativeFrom="paragraph">
                  <wp:posOffset>9467850</wp:posOffset>
                </wp:positionV>
                <wp:extent cx="6015355" cy="487680"/>
                <wp:effectExtent l="0" t="0" r="0" b="0"/>
                <wp:wrapNone/>
                <wp:docPr id="1518" name="文本框 6"/>
                <wp:cNvGraphicFramePr/>
                <a:graphic xmlns:a="http://schemas.openxmlformats.org/drawingml/2006/main">
                  <a:graphicData uri="http://schemas.microsoft.com/office/word/2010/wordprocessingShape">
                    <wps:wsp>
                      <wps:cNvSpPr txBox="1">
                        <a:spLocks noChangeArrowheads="1"/>
                      </wps:cNvSpPr>
                      <wps:spPr bwMode="auto">
                        <a:xfrm>
                          <a:off x="0" y="0"/>
                          <a:ext cx="6015355" cy="487680"/>
                        </a:xfrm>
                        <a:prstGeom prst="rect">
                          <a:avLst/>
                        </a:prstGeom>
                        <a:noFill/>
                        <a:ln>
                          <a:noFill/>
                        </a:ln>
                      </wps:spPr>
                      <wps:txbx>
                        <w:txbxContent>
                          <w:p>
                            <w:r>
                              <w:rPr>
                                <w:rFonts w:hint="eastAsia"/>
                              </w:rPr>
                              <w:t>注：[1</w:t>
                            </w:r>
                            <w:r>
                              <w:t>]</w:t>
                            </w:r>
                            <w:r>
                              <w:rPr>
                                <w:rFonts w:hint="eastAsia"/>
                              </w:rPr>
                              <w:t>规模化畜禽养殖场仅排放废水，故在统计监测企业数及评价企业数据时并入废水企业统计，下同。</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id="文本框 6" o:spid="_x0000_s1026" o:spt="202" type="#_x0000_t202" style="position:absolute;left:0pt;margin-left:77.2pt;margin-top:745.5pt;height:38.4pt;width:473.65pt;z-index:251660288;mso-width-relative:page;mso-height-relative:margin;mso-height-percent:200;" filled="f" stroked="f" coordsize="21600,21600" o:gfxdata="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NW9/3XZAAAADgEA&#10;AA8AAAAAAAAAAQAgAAAAIgAAAGRycy9kb3ducmV2LnhtbFBLAQIUABQAAAAIAIdO4kDzQWsYGQIA&#10;ABgEAAAOAAAAAAAAAAEAIAAAACgBAABkcnMvZTJvRG9jLnhtbFBLBQYAAAAABgAGAFkBAACzBQAA&#10;AAA=&#10;">
                <v:fill on="f" focussize="0,0"/>
                <v:stroke on="f"/>
                <v:imagedata o:title=""/>
                <o:lock v:ext="edit" aspectratio="f"/>
                <v:textbox style="mso-fit-shape-to-text:t;">
                  <w:txbxContent>
                    <w:p>
                      <w:r>
                        <w:rPr>
                          <w:rFonts w:hint="eastAsia"/>
                        </w:rPr>
                        <w:t>注：[1</w:t>
                      </w:r>
                      <w:r>
                        <w:t>]</w:t>
                      </w:r>
                      <w:r>
                        <w:rPr>
                          <w:rFonts w:hint="eastAsia"/>
                        </w:rPr>
                        <w:t>规模化畜禽养殖场仅排放废水，故在统计监测企业数及评价企业数据时并入废水企业统计，下同。</w:t>
                      </w:r>
                    </w:p>
                  </w:txbxContent>
                </v:textbox>
              </v:shape>
            </w:pict>
          </mc:Fallback>
        </mc:AlternateContent>
      </w:r>
    </w:p>
    <w:p>
      <w:pPr>
        <w:ind w:left="0" w:leftChars="0" w:firstLine="0" w:firstLineChars="0"/>
        <w:jc w:val="center"/>
        <w:rPr>
          <w:rFonts w:hint="default" w:ascii="Times New Roman" w:hAnsi="Times New Roman" w:cs="Times New Roman"/>
          <w:color w:val="FF0000"/>
        </w:rPr>
      </w:pPr>
      <w:r>
        <w:rPr>
          <w:rFonts w:hint="default" w:ascii="Times New Roman" w:hAnsi="Times New Roman" w:cs="Times New Roman"/>
        </w:rPr>
        <w:drawing>
          <wp:inline distT="0" distB="0" distL="114300" distR="114300">
            <wp:extent cx="4762500" cy="2454275"/>
            <wp:effectExtent l="4445" t="4445" r="14605" b="17780"/>
            <wp:docPr id="9"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jc w:val="center"/>
        <w:rPr>
          <w:rFonts w:hint="default" w:ascii="Times New Roman" w:hAnsi="Times New Roman" w:eastAsia="黑体"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4"/>
          <w:szCs w:val="24"/>
          <w:lang w:val="en-US" w:eastAsia="zh-CN"/>
          <w14:textFill>
            <w14:solidFill>
              <w14:schemeClr w14:val="tx1"/>
            </w14:solidFill>
          </w14:textFill>
        </w:rPr>
        <w:t>图2-7  2022年吉林省主要废气污染物排放行业情况</w:t>
      </w:r>
    </w:p>
    <w:p>
      <w:pPr>
        <w:jc w:val="left"/>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color w:val="000000" w:themeColor="text1"/>
          <w:lang w:val="en-US" w:eastAsia="zh-CN"/>
          <w14:textFill>
            <w14:solidFill>
              <w14:schemeClr w14:val="tx1"/>
            </w14:solidFill>
          </w14:textFill>
        </w:rPr>
        <w:t>全省27个废气主要排放行业中，电力、热力生产和供应业</w:t>
      </w:r>
      <w:r>
        <w:rPr>
          <w:rFonts w:hint="eastAsia" w:ascii="Times New Roman" w:hAnsi="Times New Roman" w:cs="Times New Roman"/>
          <w:color w:val="000000" w:themeColor="text1"/>
          <w:lang w:val="en-US" w:eastAsia="zh-CN"/>
          <w14:textFill>
            <w14:solidFill>
              <w14:schemeClr w14:val="tx1"/>
            </w14:solidFill>
          </w14:textFill>
        </w:rPr>
        <w:t>企业</w:t>
      </w:r>
      <w:r>
        <w:rPr>
          <w:rFonts w:hint="default" w:ascii="Times New Roman" w:hAnsi="Times New Roman" w:cs="Times New Roman"/>
          <w:color w:val="000000" w:themeColor="text1"/>
          <w:lang w:val="en-US" w:eastAsia="zh-CN"/>
          <w14:textFill>
            <w14:solidFill>
              <w14:schemeClr w14:val="tx1"/>
            </w14:solidFill>
          </w14:textFill>
        </w:rPr>
        <w:t>达标率和氮氧化物达标率分别为98.9%和99.5%，其他26个行业达标率、二氧化硫和氮氧化物排放达标率均为100%，详见表2-9。</w:t>
      </w:r>
    </w:p>
    <w:p>
      <w:pPr>
        <w:widowControl/>
        <w:adjustRightInd w:val="0"/>
        <w:snapToGrid w:val="0"/>
        <w:spacing w:before="156" w:beforeLines="50" w:after="156" w:afterLines="50"/>
        <w:jc w:val="center"/>
        <w:rPr>
          <w:rFonts w:hint="default" w:ascii="Times New Roman" w:hAnsi="Times New Roman" w:eastAsia="方正细黑一简体" w:cs="Times New Roman"/>
          <w:bCs/>
          <w:color w:val="FF0000"/>
          <w:sz w:val="18"/>
          <w:szCs w:val="18"/>
          <w:highlight w:val="none"/>
        </w:rPr>
      </w:pPr>
      <w:r>
        <w:rPr>
          <w:rFonts w:hint="default" w:ascii="Times New Roman" w:hAnsi="Times New Roman" w:eastAsia="黑体" w:cs="Times New Roman"/>
          <w:b w:val="0"/>
          <w:bCs/>
          <w:color w:val="000000" w:themeColor="text1"/>
          <w:sz w:val="24"/>
          <w:szCs w:val="24"/>
          <w:highlight w:val="none"/>
          <w14:textFill>
            <w14:solidFill>
              <w14:schemeClr w14:val="tx1"/>
            </w14:solidFill>
          </w14:textFill>
        </w:rPr>
        <w:t>表2-</w:t>
      </w:r>
      <w:r>
        <w:rPr>
          <w:rFonts w:hint="default" w:ascii="Times New Roman" w:hAnsi="Times New Roman" w:eastAsia="黑体" w:cs="Times New Roman"/>
          <w:b w:val="0"/>
          <w:bCs/>
          <w:color w:val="000000" w:themeColor="text1"/>
          <w:sz w:val="24"/>
          <w:szCs w:val="24"/>
          <w:highlight w:val="none"/>
          <w:lang w:val="en-US" w:eastAsia="zh-CN"/>
          <w14:textFill>
            <w14:solidFill>
              <w14:schemeClr w14:val="tx1"/>
            </w14:solidFill>
          </w14:textFill>
        </w:rPr>
        <w:t xml:space="preserve">9  </w:t>
      </w:r>
      <w:r>
        <w:rPr>
          <w:rFonts w:hint="default" w:ascii="Times New Roman" w:hAnsi="Times New Roman" w:eastAsia="黑体" w:cs="Times New Roman"/>
          <w:b w:val="0"/>
          <w:bCs/>
          <w:color w:val="000000" w:themeColor="text1"/>
          <w:sz w:val="24"/>
          <w:szCs w:val="24"/>
          <w:highlight w:val="none"/>
          <w14:textFill>
            <w14:solidFill>
              <w14:schemeClr w14:val="tx1"/>
            </w14:solidFill>
          </w14:textFill>
        </w:rPr>
        <w:t>20</w:t>
      </w:r>
      <w:r>
        <w:rPr>
          <w:rFonts w:hint="default" w:ascii="Times New Roman" w:hAnsi="Times New Roman" w:eastAsia="黑体" w:cs="Times New Roman"/>
          <w:b w:val="0"/>
          <w:bCs/>
          <w:color w:val="000000" w:themeColor="text1"/>
          <w:sz w:val="24"/>
          <w:szCs w:val="24"/>
          <w:highlight w:val="none"/>
          <w:lang w:val="en-US" w:eastAsia="zh-CN"/>
          <w14:textFill>
            <w14:solidFill>
              <w14:schemeClr w14:val="tx1"/>
            </w14:solidFill>
          </w14:textFill>
        </w:rPr>
        <w:t>22</w:t>
      </w:r>
      <w:r>
        <w:rPr>
          <w:rFonts w:hint="default" w:ascii="Times New Roman" w:hAnsi="Times New Roman" w:eastAsia="黑体" w:cs="Times New Roman"/>
          <w:b w:val="0"/>
          <w:bCs/>
          <w:color w:val="000000" w:themeColor="text1"/>
          <w:sz w:val="24"/>
          <w:szCs w:val="24"/>
          <w:highlight w:val="none"/>
          <w14:textFill>
            <w14:solidFill>
              <w14:schemeClr w14:val="tx1"/>
            </w14:solidFill>
          </w14:textFill>
        </w:rPr>
        <w:t>年</w:t>
      </w:r>
      <w:r>
        <w:rPr>
          <w:rFonts w:hint="default" w:ascii="Times New Roman" w:hAnsi="Times New Roman" w:eastAsia="黑体" w:cs="Times New Roman"/>
          <w:b w:val="0"/>
          <w:bCs/>
          <w:color w:val="000000" w:themeColor="text1"/>
          <w:sz w:val="24"/>
          <w:szCs w:val="24"/>
          <w:highlight w:val="none"/>
          <w:lang w:eastAsia="zh-CN"/>
          <w14:textFill>
            <w14:solidFill>
              <w14:schemeClr w14:val="tx1"/>
            </w14:solidFill>
          </w14:textFill>
        </w:rPr>
        <w:t>吉林</w:t>
      </w:r>
      <w:r>
        <w:rPr>
          <w:rFonts w:hint="default" w:ascii="Times New Roman" w:hAnsi="Times New Roman" w:eastAsia="黑体" w:cs="Times New Roman"/>
          <w:b w:val="0"/>
          <w:bCs/>
          <w:color w:val="000000" w:themeColor="text1"/>
          <w:sz w:val="24"/>
          <w:szCs w:val="24"/>
          <w:highlight w:val="none"/>
          <w14:textFill>
            <w14:solidFill>
              <w14:schemeClr w14:val="tx1"/>
            </w14:solidFill>
          </w14:textFill>
        </w:rPr>
        <w:t>省废气</w:t>
      </w:r>
      <w:r>
        <w:rPr>
          <w:rFonts w:hint="default" w:ascii="Times New Roman" w:hAnsi="Times New Roman" w:eastAsia="黑体" w:cs="Times New Roman"/>
          <w:b w:val="0"/>
          <w:bCs/>
          <w:color w:val="000000" w:themeColor="text1"/>
          <w:sz w:val="24"/>
          <w:szCs w:val="24"/>
          <w:highlight w:val="none"/>
          <w:lang w:val="en-US" w:eastAsia="zh-CN"/>
          <w14:textFill>
            <w14:solidFill>
              <w14:schemeClr w14:val="tx1"/>
            </w14:solidFill>
          </w14:textFill>
        </w:rPr>
        <w:t>污染源各行业排放达标情况</w:t>
      </w:r>
    </w:p>
    <w:tbl>
      <w:tblPr>
        <w:tblStyle w:val="15"/>
        <w:tblW w:w="5093" w:type="pct"/>
        <w:jc w:val="center"/>
        <w:tblBorders>
          <w:top w:val="single" w:color="auto" w:sz="6" w:space="0"/>
          <w:left w:val="none" w:color="auto" w:sz="0" w:space="0"/>
          <w:bottom w:val="single" w:color="auto" w:sz="2" w:space="0"/>
          <w:right w:val="none" w:color="auto" w:sz="0" w:space="0"/>
          <w:insideH w:val="single" w:color="auto" w:sz="2" w:space="0"/>
          <w:insideV w:val="single" w:color="auto" w:sz="2" w:space="0"/>
        </w:tblBorders>
        <w:tblLayout w:type="autofit"/>
        <w:tblCellMar>
          <w:top w:w="0" w:type="dxa"/>
          <w:left w:w="0" w:type="dxa"/>
          <w:bottom w:w="0" w:type="dxa"/>
          <w:right w:w="0" w:type="dxa"/>
        </w:tblCellMar>
      </w:tblPr>
      <w:tblGrid>
        <w:gridCol w:w="509"/>
        <w:gridCol w:w="2944"/>
        <w:gridCol w:w="980"/>
        <w:gridCol w:w="1196"/>
        <w:gridCol w:w="985"/>
        <w:gridCol w:w="1200"/>
        <w:gridCol w:w="1137"/>
      </w:tblGrid>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866" w:hRule="atLeast"/>
          <w:tblHeader/>
          <w:jc w:val="center"/>
        </w:trPr>
        <w:tc>
          <w:tcPr>
            <w:tcW w:w="284" w:type="pct"/>
            <w:tcBorders>
              <w:top w:val="single" w:color="auto" w:sz="6" w:space="0"/>
              <w:bottom w:val="single" w:color="auto" w:sz="4" w:space="0"/>
            </w:tcBorders>
            <w:shd w:val="clear" w:color="auto" w:fill="FFFFFF" w:themeFill="background1"/>
            <w:vAlign w:val="center"/>
          </w:tcPr>
          <w:p>
            <w:pPr>
              <w:widowControl/>
              <w:adjustRightInd w:val="0"/>
              <w:snapToGrid w:val="0"/>
              <w:ind w:left="0" w:leftChars="0" w:firstLine="0" w:firstLineChars="0"/>
              <w:jc w:val="center"/>
              <w:rPr>
                <w:rFonts w:hint="default" w:ascii="Times New Roman" w:hAnsi="Times New Roman" w:eastAsia="黑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黑体" w:cs="Times New Roman"/>
                <w:b w:val="0"/>
                <w:bCs w:val="0"/>
                <w:color w:val="000000" w:themeColor="text1"/>
                <w:sz w:val="24"/>
                <w:szCs w:val="24"/>
                <w:highlight w:val="none"/>
                <w14:textFill>
                  <w14:solidFill>
                    <w14:schemeClr w14:val="tx1"/>
                  </w14:solidFill>
                </w14:textFill>
              </w:rPr>
              <w:t>序号</w:t>
            </w:r>
          </w:p>
        </w:tc>
        <w:tc>
          <w:tcPr>
            <w:tcW w:w="1644" w:type="pct"/>
            <w:tcBorders>
              <w:top w:val="single" w:color="auto" w:sz="6" w:space="0"/>
              <w:bottom w:val="single" w:color="auto" w:sz="4" w:space="0"/>
            </w:tcBorders>
            <w:shd w:val="clear" w:color="auto" w:fill="FFFFFF" w:themeFill="background1"/>
            <w:vAlign w:val="center"/>
          </w:tcPr>
          <w:p>
            <w:pPr>
              <w:widowControl/>
              <w:adjustRightInd w:val="0"/>
              <w:snapToGrid w:val="0"/>
              <w:ind w:left="0" w:leftChars="0" w:firstLine="0" w:firstLineChars="0"/>
              <w:jc w:val="center"/>
              <w:rPr>
                <w:rFonts w:hint="default" w:ascii="Times New Roman" w:hAnsi="Times New Roman" w:eastAsia="黑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黑体" w:cs="Times New Roman"/>
                <w:b w:val="0"/>
                <w:bCs w:val="0"/>
                <w:color w:val="000000" w:themeColor="text1"/>
                <w:sz w:val="24"/>
                <w:szCs w:val="24"/>
                <w:highlight w:val="none"/>
                <w14:textFill>
                  <w14:solidFill>
                    <w14:schemeClr w14:val="tx1"/>
                  </w14:solidFill>
                </w14:textFill>
              </w:rPr>
              <w:t>行业</w:t>
            </w:r>
          </w:p>
        </w:tc>
        <w:tc>
          <w:tcPr>
            <w:tcW w:w="547" w:type="pct"/>
            <w:tcBorders>
              <w:top w:val="single" w:color="auto" w:sz="6" w:space="0"/>
              <w:bottom w:val="single" w:color="auto" w:sz="4" w:space="0"/>
            </w:tcBorders>
            <w:shd w:val="clear" w:color="auto" w:fill="FFFFFF" w:themeFill="background1"/>
            <w:vAlign w:val="center"/>
          </w:tcPr>
          <w:p>
            <w:pPr>
              <w:widowControl/>
              <w:adjustRightInd w:val="0"/>
              <w:snapToGrid w:val="0"/>
              <w:ind w:left="0" w:leftChars="0" w:firstLine="0" w:firstLineChars="0"/>
              <w:jc w:val="center"/>
              <w:rPr>
                <w:rFonts w:hint="default" w:ascii="Times New Roman" w:hAnsi="Times New Roman" w:eastAsia="黑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黑体" w:cs="Times New Roman"/>
                <w:b w:val="0"/>
                <w:bCs w:val="0"/>
                <w:color w:val="000000" w:themeColor="text1"/>
                <w:sz w:val="24"/>
                <w:szCs w:val="24"/>
                <w:highlight w:val="none"/>
                <w14:textFill>
                  <w14:solidFill>
                    <w14:schemeClr w14:val="tx1"/>
                  </w14:solidFill>
                </w14:textFill>
              </w:rPr>
              <w:t>企业数量（家）</w:t>
            </w:r>
          </w:p>
        </w:tc>
        <w:tc>
          <w:tcPr>
            <w:tcW w:w="668" w:type="pct"/>
            <w:tcBorders>
              <w:top w:val="single" w:color="auto" w:sz="6" w:space="0"/>
              <w:bottom w:val="single" w:color="auto" w:sz="4" w:space="0"/>
            </w:tcBorders>
            <w:shd w:val="clear" w:color="auto" w:fill="FFFFFF" w:themeFill="background1"/>
            <w:vAlign w:val="center"/>
          </w:tcPr>
          <w:p>
            <w:pPr>
              <w:widowControl/>
              <w:tabs>
                <w:tab w:val="left" w:pos="497"/>
              </w:tabs>
              <w:adjustRightInd w:val="0"/>
              <w:snapToGrid w:val="0"/>
              <w:ind w:left="0" w:leftChars="0" w:firstLine="0" w:firstLineChars="0"/>
              <w:jc w:val="center"/>
              <w:rPr>
                <w:rFonts w:hint="default" w:ascii="Times New Roman" w:hAnsi="Times New Roman" w:eastAsia="黑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4"/>
                <w:szCs w:val="24"/>
                <w:highlight w:val="none"/>
                <w:lang w:eastAsia="zh-CN"/>
                <w14:textFill>
                  <w14:solidFill>
                    <w14:schemeClr w14:val="tx1"/>
                  </w14:solidFill>
                </w14:textFill>
              </w:rPr>
              <w:t>占监测企业比例（</w:t>
            </w:r>
            <w:r>
              <w:rPr>
                <w:rFonts w:hint="default" w:ascii="Times New Roman" w:hAnsi="Times New Roman" w:eastAsia="黑体" w:cs="Times New Roman"/>
                <w:b w:val="0"/>
                <w:bCs w:val="0"/>
                <w:color w:val="000000" w:themeColor="text1"/>
                <w:sz w:val="24"/>
                <w:szCs w:val="24"/>
                <w:highlight w:val="none"/>
                <w:lang w:val="en-US" w:eastAsia="zh-CN"/>
                <w14:textFill>
                  <w14:solidFill>
                    <w14:schemeClr w14:val="tx1"/>
                  </w14:solidFill>
                </w14:textFill>
              </w:rPr>
              <w:t>%）</w:t>
            </w:r>
          </w:p>
        </w:tc>
        <w:tc>
          <w:tcPr>
            <w:tcW w:w="550" w:type="pct"/>
            <w:tcBorders>
              <w:top w:val="single" w:color="auto" w:sz="6" w:space="0"/>
              <w:bottom w:val="single" w:color="auto" w:sz="4" w:space="0"/>
            </w:tcBorders>
            <w:shd w:val="clear" w:color="auto" w:fill="FFFFFF" w:themeFill="background1"/>
            <w:vAlign w:val="center"/>
          </w:tcPr>
          <w:p>
            <w:pPr>
              <w:widowControl/>
              <w:adjustRightInd w:val="0"/>
              <w:snapToGrid w:val="0"/>
              <w:ind w:left="0" w:leftChars="0" w:firstLine="0" w:firstLineChars="0"/>
              <w:jc w:val="center"/>
              <w:rPr>
                <w:rFonts w:hint="default" w:ascii="Times New Roman" w:hAnsi="Times New Roman" w:eastAsia="黑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4"/>
                <w:szCs w:val="24"/>
                <w:highlight w:val="none"/>
                <w:lang w:eastAsia="zh-CN"/>
                <w14:textFill>
                  <w14:solidFill>
                    <w14:schemeClr w14:val="tx1"/>
                  </w14:solidFill>
                </w14:textFill>
              </w:rPr>
              <w:t>企业</w:t>
            </w:r>
            <w:r>
              <w:rPr>
                <w:rFonts w:hint="default" w:ascii="Times New Roman" w:hAnsi="Times New Roman" w:eastAsia="黑体" w:cs="Times New Roman"/>
                <w:b w:val="0"/>
                <w:bCs w:val="0"/>
                <w:color w:val="000000" w:themeColor="text1"/>
                <w:sz w:val="24"/>
                <w:szCs w:val="24"/>
                <w:highlight w:val="none"/>
                <w14:textFill>
                  <w14:solidFill>
                    <w14:schemeClr w14:val="tx1"/>
                  </w14:solidFill>
                </w14:textFill>
              </w:rPr>
              <w:t>达标率</w:t>
            </w:r>
            <w:r>
              <w:rPr>
                <w:rFonts w:hint="default" w:ascii="Times New Roman" w:hAnsi="Times New Roman" w:eastAsia="黑体" w:cs="Times New Roman"/>
                <w:b w:val="0"/>
                <w:bCs w:val="0"/>
                <w:color w:val="000000" w:themeColor="text1"/>
                <w:sz w:val="24"/>
                <w:szCs w:val="24"/>
                <w:highlight w:val="none"/>
                <w:lang w:eastAsia="zh-CN"/>
                <w14:textFill>
                  <w14:solidFill>
                    <w14:schemeClr w14:val="tx1"/>
                  </w14:solidFill>
                </w14:textFill>
              </w:rPr>
              <w:t>（</w:t>
            </w:r>
            <w:r>
              <w:rPr>
                <w:rFonts w:hint="default" w:ascii="Times New Roman" w:hAnsi="Times New Roman" w:eastAsia="黑体" w:cs="Times New Roman"/>
                <w:b w:val="0"/>
                <w:bCs w:val="0"/>
                <w:color w:val="000000" w:themeColor="text1"/>
                <w:sz w:val="24"/>
                <w:szCs w:val="24"/>
                <w:highlight w:val="none"/>
                <w:lang w:val="en-US" w:eastAsia="zh-CN"/>
                <w14:textFill>
                  <w14:solidFill>
                    <w14:schemeClr w14:val="tx1"/>
                  </w14:solidFill>
                </w14:textFill>
              </w:rPr>
              <w:t>%）</w:t>
            </w:r>
          </w:p>
        </w:tc>
        <w:tc>
          <w:tcPr>
            <w:tcW w:w="670" w:type="pct"/>
            <w:tcBorders>
              <w:top w:val="single" w:color="auto" w:sz="6" w:space="0"/>
              <w:bottom w:val="single" w:color="auto" w:sz="4" w:space="0"/>
            </w:tcBorders>
            <w:shd w:val="clear" w:color="auto" w:fill="FFFFFF" w:themeFill="background1"/>
            <w:vAlign w:val="center"/>
          </w:tcPr>
          <w:p>
            <w:pPr>
              <w:widowControl/>
              <w:adjustRightInd w:val="0"/>
              <w:snapToGrid w:val="0"/>
              <w:ind w:left="0" w:leftChars="0" w:firstLine="0" w:firstLineChars="0"/>
              <w:jc w:val="center"/>
              <w:rPr>
                <w:rFonts w:hint="default" w:ascii="Times New Roman" w:hAnsi="Times New Roman" w:eastAsia="黑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黑体" w:cs="Times New Roman"/>
                <w:b w:val="0"/>
                <w:bCs w:val="0"/>
                <w:color w:val="000000" w:themeColor="text1"/>
                <w:sz w:val="24"/>
                <w:szCs w:val="24"/>
                <w:highlight w:val="none"/>
                <w14:textFill>
                  <w14:solidFill>
                    <w14:schemeClr w14:val="tx1"/>
                  </w14:solidFill>
                </w14:textFill>
              </w:rPr>
              <w:t>二氧化硫达标率</w:t>
            </w:r>
            <w:r>
              <w:rPr>
                <w:rFonts w:hint="default" w:ascii="Times New Roman" w:hAnsi="Times New Roman" w:eastAsia="黑体" w:cs="Times New Roman"/>
                <w:b w:val="0"/>
                <w:bCs w:val="0"/>
                <w:color w:val="000000" w:themeColor="text1"/>
                <w:sz w:val="24"/>
                <w:szCs w:val="24"/>
                <w:highlight w:val="none"/>
                <w:lang w:eastAsia="zh-CN"/>
                <w14:textFill>
                  <w14:solidFill>
                    <w14:schemeClr w14:val="tx1"/>
                  </w14:solidFill>
                </w14:textFill>
              </w:rPr>
              <w:t>（</w:t>
            </w:r>
            <w:r>
              <w:rPr>
                <w:rFonts w:hint="default" w:ascii="Times New Roman" w:hAnsi="Times New Roman" w:eastAsia="黑体" w:cs="Times New Roman"/>
                <w:b w:val="0"/>
                <w:bCs w:val="0"/>
                <w:color w:val="000000" w:themeColor="text1"/>
                <w:sz w:val="24"/>
                <w:szCs w:val="24"/>
                <w:highlight w:val="none"/>
                <w:lang w:val="en-US" w:eastAsia="zh-CN"/>
                <w14:textFill>
                  <w14:solidFill>
                    <w14:schemeClr w14:val="tx1"/>
                  </w14:solidFill>
                </w14:textFill>
              </w:rPr>
              <w:t>%）</w:t>
            </w:r>
          </w:p>
        </w:tc>
        <w:tc>
          <w:tcPr>
            <w:tcW w:w="635" w:type="pct"/>
            <w:tcBorders>
              <w:top w:val="single" w:color="auto" w:sz="6" w:space="0"/>
              <w:bottom w:val="single" w:color="auto" w:sz="4" w:space="0"/>
            </w:tcBorders>
            <w:shd w:val="clear" w:color="auto" w:fill="FFFFFF" w:themeFill="background1"/>
            <w:vAlign w:val="center"/>
          </w:tcPr>
          <w:p>
            <w:pPr>
              <w:widowControl/>
              <w:adjustRightInd w:val="0"/>
              <w:snapToGrid w:val="0"/>
              <w:ind w:left="0" w:leftChars="0" w:firstLine="0" w:firstLineChars="0"/>
              <w:jc w:val="center"/>
              <w:rPr>
                <w:rFonts w:hint="default" w:ascii="Times New Roman" w:hAnsi="Times New Roman" w:eastAsia="黑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黑体" w:cs="Times New Roman"/>
                <w:b w:val="0"/>
                <w:bCs w:val="0"/>
                <w:color w:val="000000" w:themeColor="text1"/>
                <w:sz w:val="24"/>
                <w:szCs w:val="24"/>
                <w:highlight w:val="none"/>
                <w14:textFill>
                  <w14:solidFill>
                    <w14:schemeClr w14:val="tx1"/>
                  </w14:solidFill>
                </w14:textFill>
              </w:rPr>
              <w:t>氮氧化物达标率</w:t>
            </w:r>
            <w:r>
              <w:rPr>
                <w:rFonts w:hint="default" w:ascii="Times New Roman" w:hAnsi="Times New Roman" w:eastAsia="黑体" w:cs="Times New Roman"/>
                <w:b w:val="0"/>
                <w:bCs w:val="0"/>
                <w:color w:val="000000" w:themeColor="text1"/>
                <w:sz w:val="24"/>
                <w:szCs w:val="24"/>
                <w:highlight w:val="none"/>
                <w:lang w:eastAsia="zh-CN"/>
                <w14:textFill>
                  <w14:solidFill>
                    <w14:schemeClr w14:val="tx1"/>
                  </w14:solidFill>
                </w14:textFill>
              </w:rPr>
              <w:t>（</w:t>
            </w:r>
            <w:r>
              <w:rPr>
                <w:rFonts w:hint="default" w:ascii="Times New Roman" w:hAnsi="Times New Roman" w:eastAsia="黑体" w:cs="Times New Roman"/>
                <w:b w:val="0"/>
                <w:bCs w:val="0"/>
                <w:color w:val="000000" w:themeColor="text1"/>
                <w:sz w:val="24"/>
                <w:szCs w:val="24"/>
                <w:highlight w:val="none"/>
                <w:lang w:val="en-US" w:eastAsia="zh-CN"/>
                <w14:textFill>
                  <w14:solidFill>
                    <w14:schemeClr w14:val="tx1"/>
                  </w14:solidFill>
                </w14:textFill>
              </w:rPr>
              <w:t>%）</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84" w:type="pct"/>
            <w:tcBorders>
              <w:top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w:t>
            </w:r>
          </w:p>
        </w:tc>
        <w:tc>
          <w:tcPr>
            <w:tcW w:w="1644" w:type="pct"/>
            <w:tcBorders>
              <w:top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农、林、牧、渔服务业</w:t>
            </w:r>
          </w:p>
        </w:tc>
        <w:tc>
          <w:tcPr>
            <w:tcW w:w="547" w:type="pct"/>
            <w:tcBorders>
              <w:top w:val="single" w:color="auto" w:sz="4"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w:t>
            </w:r>
          </w:p>
        </w:tc>
        <w:tc>
          <w:tcPr>
            <w:tcW w:w="668" w:type="pct"/>
            <w:tcBorders>
              <w:top w:val="single" w:color="auto" w:sz="4"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0.3</w:t>
            </w:r>
          </w:p>
        </w:tc>
        <w:tc>
          <w:tcPr>
            <w:tcW w:w="550" w:type="pct"/>
            <w:tcBorders>
              <w:top w:val="single" w:color="auto" w:sz="4"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70" w:type="pct"/>
            <w:tcBorders>
              <w:top w:val="single" w:color="auto" w:sz="4"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35" w:type="pct"/>
            <w:tcBorders>
              <w:top w:val="single" w:color="auto" w:sz="4"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84" w:type="pct"/>
            <w:tcBorders>
              <w:top w:val="single" w:color="auto" w:sz="2" w:space="0"/>
              <w:bottom w:val="single" w:color="auto" w:sz="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2</w:t>
            </w:r>
          </w:p>
        </w:tc>
        <w:tc>
          <w:tcPr>
            <w:tcW w:w="1644" w:type="pct"/>
            <w:tcBorders>
              <w:top w:val="single" w:color="auto" w:sz="2" w:space="0"/>
              <w:bottom w:val="single" w:color="auto" w:sz="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有色金属矿采选业</w:t>
            </w:r>
          </w:p>
        </w:tc>
        <w:tc>
          <w:tcPr>
            <w:tcW w:w="547" w:type="pct"/>
            <w:tcBorders>
              <w:top w:val="single" w:color="auto" w:sz="2" w:space="0"/>
              <w:bottom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w:t>
            </w:r>
          </w:p>
        </w:tc>
        <w:tc>
          <w:tcPr>
            <w:tcW w:w="668" w:type="pct"/>
            <w:tcBorders>
              <w:top w:val="single" w:color="auto" w:sz="2" w:space="0"/>
              <w:bottom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0.3</w:t>
            </w:r>
          </w:p>
        </w:tc>
        <w:tc>
          <w:tcPr>
            <w:tcW w:w="550" w:type="pct"/>
            <w:tcBorders>
              <w:top w:val="single" w:color="auto" w:sz="2" w:space="0"/>
              <w:bottom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70" w:type="pct"/>
            <w:tcBorders>
              <w:top w:val="single" w:color="auto" w:sz="2" w:space="0"/>
              <w:bottom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35" w:type="pct"/>
            <w:tcBorders>
              <w:top w:val="single" w:color="auto" w:sz="2" w:space="0"/>
              <w:bottom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84" w:type="pct"/>
            <w:tcBorders>
              <w:top w:val="single" w:color="auto" w:sz="2" w:space="0"/>
              <w:bottom w:val="single" w:color="auto" w:sz="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3</w:t>
            </w:r>
          </w:p>
        </w:tc>
        <w:tc>
          <w:tcPr>
            <w:tcW w:w="1644" w:type="pct"/>
            <w:tcBorders>
              <w:top w:val="single" w:color="auto" w:sz="2" w:space="0"/>
              <w:bottom w:val="single" w:color="auto" w:sz="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农副食品加工业</w:t>
            </w:r>
          </w:p>
        </w:tc>
        <w:tc>
          <w:tcPr>
            <w:tcW w:w="547" w:type="pct"/>
            <w:tcBorders>
              <w:top w:val="single" w:color="auto" w:sz="2" w:space="0"/>
              <w:bottom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8</w:t>
            </w:r>
          </w:p>
        </w:tc>
        <w:tc>
          <w:tcPr>
            <w:tcW w:w="668" w:type="pct"/>
            <w:tcBorders>
              <w:top w:val="single" w:color="auto" w:sz="2" w:space="0"/>
              <w:bottom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2.5</w:t>
            </w:r>
          </w:p>
        </w:tc>
        <w:tc>
          <w:tcPr>
            <w:tcW w:w="550" w:type="pct"/>
            <w:tcBorders>
              <w:top w:val="single" w:color="auto" w:sz="2" w:space="0"/>
              <w:bottom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70" w:type="pct"/>
            <w:tcBorders>
              <w:top w:val="single" w:color="auto" w:sz="2" w:space="0"/>
              <w:bottom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35" w:type="pct"/>
            <w:tcBorders>
              <w:top w:val="single" w:color="auto" w:sz="2" w:space="0"/>
              <w:bottom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84" w:type="pct"/>
            <w:tcBorders>
              <w:top w:val="single" w:color="auto" w:sz="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4</w:t>
            </w:r>
          </w:p>
        </w:tc>
        <w:tc>
          <w:tcPr>
            <w:tcW w:w="1644" w:type="pct"/>
            <w:tcBorders>
              <w:top w:val="single" w:color="auto" w:sz="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酒、饮料和精致茶制造业</w:t>
            </w:r>
          </w:p>
        </w:tc>
        <w:tc>
          <w:tcPr>
            <w:tcW w:w="547" w:type="pct"/>
            <w:tcBorders>
              <w:top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3</w:t>
            </w:r>
          </w:p>
        </w:tc>
        <w:tc>
          <w:tcPr>
            <w:tcW w:w="668" w:type="pct"/>
            <w:tcBorders>
              <w:top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w:t>
            </w:r>
          </w:p>
        </w:tc>
        <w:tc>
          <w:tcPr>
            <w:tcW w:w="550" w:type="pct"/>
            <w:tcBorders>
              <w:top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70" w:type="pct"/>
            <w:tcBorders>
              <w:top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35" w:type="pct"/>
            <w:tcBorders>
              <w:top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84" w:type="pct"/>
            <w:tcBorders>
              <w:top w:val="single" w:color="auto" w:sz="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5</w:t>
            </w:r>
          </w:p>
        </w:tc>
        <w:tc>
          <w:tcPr>
            <w:tcW w:w="1644" w:type="pct"/>
            <w:tcBorders>
              <w:top w:val="single" w:color="auto" w:sz="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烟草制品业</w:t>
            </w:r>
          </w:p>
        </w:tc>
        <w:tc>
          <w:tcPr>
            <w:tcW w:w="547" w:type="pct"/>
            <w:tcBorders>
              <w:top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w:t>
            </w:r>
          </w:p>
        </w:tc>
        <w:tc>
          <w:tcPr>
            <w:tcW w:w="668" w:type="pct"/>
            <w:tcBorders>
              <w:top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0.3</w:t>
            </w:r>
          </w:p>
        </w:tc>
        <w:tc>
          <w:tcPr>
            <w:tcW w:w="550" w:type="pct"/>
            <w:tcBorders>
              <w:top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70" w:type="pct"/>
            <w:tcBorders>
              <w:top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35" w:type="pct"/>
            <w:tcBorders>
              <w:top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84" w:type="pct"/>
            <w:tcBorders>
              <w:top w:val="single" w:color="auto" w:sz="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6</w:t>
            </w:r>
          </w:p>
        </w:tc>
        <w:tc>
          <w:tcPr>
            <w:tcW w:w="1644" w:type="pct"/>
            <w:tcBorders>
              <w:top w:val="single" w:color="auto" w:sz="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皮革、毛皮、羽毛及其制品和制鞋业</w:t>
            </w:r>
          </w:p>
        </w:tc>
        <w:tc>
          <w:tcPr>
            <w:tcW w:w="547" w:type="pct"/>
            <w:tcBorders>
              <w:top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w:t>
            </w:r>
          </w:p>
        </w:tc>
        <w:tc>
          <w:tcPr>
            <w:tcW w:w="668" w:type="pct"/>
            <w:tcBorders>
              <w:top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0.3</w:t>
            </w:r>
          </w:p>
        </w:tc>
        <w:tc>
          <w:tcPr>
            <w:tcW w:w="550" w:type="pct"/>
            <w:tcBorders>
              <w:top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70" w:type="pct"/>
            <w:tcBorders>
              <w:top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35" w:type="pct"/>
            <w:tcBorders>
              <w:top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84" w:type="pct"/>
            <w:tcBorders>
              <w:top w:val="single" w:color="auto" w:sz="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7</w:t>
            </w:r>
          </w:p>
        </w:tc>
        <w:tc>
          <w:tcPr>
            <w:tcW w:w="1644" w:type="pct"/>
            <w:tcBorders>
              <w:top w:val="single" w:color="auto" w:sz="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造纸和纸制品业</w:t>
            </w:r>
          </w:p>
        </w:tc>
        <w:tc>
          <w:tcPr>
            <w:tcW w:w="547" w:type="pct"/>
            <w:tcBorders>
              <w:top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3</w:t>
            </w:r>
          </w:p>
        </w:tc>
        <w:tc>
          <w:tcPr>
            <w:tcW w:w="668" w:type="pct"/>
            <w:tcBorders>
              <w:top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w:t>
            </w:r>
          </w:p>
        </w:tc>
        <w:tc>
          <w:tcPr>
            <w:tcW w:w="550" w:type="pct"/>
            <w:tcBorders>
              <w:top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70" w:type="pct"/>
            <w:tcBorders>
              <w:top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35" w:type="pct"/>
            <w:tcBorders>
              <w:top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84"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8</w:t>
            </w:r>
          </w:p>
        </w:tc>
        <w:tc>
          <w:tcPr>
            <w:tcW w:w="1644"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印刷和记录媒介复制业</w:t>
            </w:r>
          </w:p>
        </w:tc>
        <w:tc>
          <w:tcPr>
            <w:tcW w:w="547"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3</w:t>
            </w:r>
          </w:p>
        </w:tc>
        <w:tc>
          <w:tcPr>
            <w:tcW w:w="668"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w:t>
            </w:r>
          </w:p>
        </w:tc>
        <w:tc>
          <w:tcPr>
            <w:tcW w:w="550"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70"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35"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84"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9</w:t>
            </w:r>
          </w:p>
        </w:tc>
        <w:tc>
          <w:tcPr>
            <w:tcW w:w="1644"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石油加工、炼焦和核燃料加工业</w:t>
            </w:r>
          </w:p>
        </w:tc>
        <w:tc>
          <w:tcPr>
            <w:tcW w:w="547"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4</w:t>
            </w:r>
          </w:p>
        </w:tc>
        <w:tc>
          <w:tcPr>
            <w:tcW w:w="668"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1.3</w:t>
            </w:r>
          </w:p>
        </w:tc>
        <w:tc>
          <w:tcPr>
            <w:tcW w:w="550"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70"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35"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84"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w:t>
            </w:r>
          </w:p>
        </w:tc>
        <w:tc>
          <w:tcPr>
            <w:tcW w:w="1644"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化学原料和化学制品制造业</w:t>
            </w:r>
          </w:p>
        </w:tc>
        <w:tc>
          <w:tcPr>
            <w:tcW w:w="547"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20</w:t>
            </w:r>
          </w:p>
        </w:tc>
        <w:tc>
          <w:tcPr>
            <w:tcW w:w="668"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6.4</w:t>
            </w:r>
          </w:p>
        </w:tc>
        <w:tc>
          <w:tcPr>
            <w:tcW w:w="550"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70"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35"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84"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11</w:t>
            </w:r>
          </w:p>
        </w:tc>
        <w:tc>
          <w:tcPr>
            <w:tcW w:w="1644"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医药制造业</w:t>
            </w:r>
          </w:p>
        </w:tc>
        <w:tc>
          <w:tcPr>
            <w:tcW w:w="547"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9</w:t>
            </w:r>
          </w:p>
        </w:tc>
        <w:tc>
          <w:tcPr>
            <w:tcW w:w="668"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2.9</w:t>
            </w:r>
          </w:p>
        </w:tc>
        <w:tc>
          <w:tcPr>
            <w:tcW w:w="550"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70"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35"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84"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12</w:t>
            </w:r>
          </w:p>
        </w:tc>
        <w:tc>
          <w:tcPr>
            <w:tcW w:w="1644"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橡胶和塑料制品业</w:t>
            </w:r>
          </w:p>
        </w:tc>
        <w:tc>
          <w:tcPr>
            <w:tcW w:w="547"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2</w:t>
            </w:r>
          </w:p>
        </w:tc>
        <w:tc>
          <w:tcPr>
            <w:tcW w:w="668"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0.6</w:t>
            </w:r>
          </w:p>
        </w:tc>
        <w:tc>
          <w:tcPr>
            <w:tcW w:w="550"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70"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35"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84"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13</w:t>
            </w:r>
          </w:p>
        </w:tc>
        <w:tc>
          <w:tcPr>
            <w:tcW w:w="1644"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非金属矿物制品业</w:t>
            </w:r>
          </w:p>
        </w:tc>
        <w:tc>
          <w:tcPr>
            <w:tcW w:w="547"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27</w:t>
            </w:r>
          </w:p>
        </w:tc>
        <w:tc>
          <w:tcPr>
            <w:tcW w:w="668"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8.6</w:t>
            </w:r>
          </w:p>
        </w:tc>
        <w:tc>
          <w:tcPr>
            <w:tcW w:w="550"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70"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35"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84"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14</w:t>
            </w:r>
          </w:p>
        </w:tc>
        <w:tc>
          <w:tcPr>
            <w:tcW w:w="1644"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黑色金属冶炼和压延加工业</w:t>
            </w:r>
          </w:p>
        </w:tc>
        <w:tc>
          <w:tcPr>
            <w:tcW w:w="547"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5</w:t>
            </w:r>
          </w:p>
        </w:tc>
        <w:tc>
          <w:tcPr>
            <w:tcW w:w="668"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1.6</w:t>
            </w:r>
          </w:p>
        </w:tc>
        <w:tc>
          <w:tcPr>
            <w:tcW w:w="550"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70"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35"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84"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15</w:t>
            </w:r>
          </w:p>
        </w:tc>
        <w:tc>
          <w:tcPr>
            <w:tcW w:w="1644"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有色金属冶炼和压延加工业</w:t>
            </w:r>
          </w:p>
        </w:tc>
        <w:tc>
          <w:tcPr>
            <w:tcW w:w="547"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3</w:t>
            </w:r>
          </w:p>
        </w:tc>
        <w:tc>
          <w:tcPr>
            <w:tcW w:w="668"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w:t>
            </w:r>
          </w:p>
        </w:tc>
        <w:tc>
          <w:tcPr>
            <w:tcW w:w="550"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70"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35"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84"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16</w:t>
            </w:r>
          </w:p>
        </w:tc>
        <w:tc>
          <w:tcPr>
            <w:tcW w:w="1644"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金属制品业</w:t>
            </w:r>
          </w:p>
        </w:tc>
        <w:tc>
          <w:tcPr>
            <w:tcW w:w="547"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2</w:t>
            </w:r>
          </w:p>
        </w:tc>
        <w:tc>
          <w:tcPr>
            <w:tcW w:w="668"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0.6</w:t>
            </w:r>
          </w:p>
        </w:tc>
        <w:tc>
          <w:tcPr>
            <w:tcW w:w="550"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70"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35"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84"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17</w:t>
            </w:r>
          </w:p>
        </w:tc>
        <w:tc>
          <w:tcPr>
            <w:tcW w:w="1644"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汽车制造业</w:t>
            </w:r>
          </w:p>
        </w:tc>
        <w:tc>
          <w:tcPr>
            <w:tcW w:w="547"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w:t>
            </w:r>
          </w:p>
        </w:tc>
        <w:tc>
          <w:tcPr>
            <w:tcW w:w="668"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3.2</w:t>
            </w:r>
          </w:p>
        </w:tc>
        <w:tc>
          <w:tcPr>
            <w:tcW w:w="550"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70"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35"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84"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18</w:t>
            </w:r>
          </w:p>
        </w:tc>
        <w:tc>
          <w:tcPr>
            <w:tcW w:w="1644"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废弃资源综合利用业</w:t>
            </w:r>
          </w:p>
        </w:tc>
        <w:tc>
          <w:tcPr>
            <w:tcW w:w="547"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2</w:t>
            </w:r>
          </w:p>
        </w:tc>
        <w:tc>
          <w:tcPr>
            <w:tcW w:w="668"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0.6</w:t>
            </w:r>
          </w:p>
        </w:tc>
        <w:tc>
          <w:tcPr>
            <w:tcW w:w="550"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70"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35"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84"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19</w:t>
            </w:r>
          </w:p>
        </w:tc>
        <w:tc>
          <w:tcPr>
            <w:tcW w:w="1644"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金属制品、机械和设备修理业</w:t>
            </w:r>
          </w:p>
        </w:tc>
        <w:tc>
          <w:tcPr>
            <w:tcW w:w="547"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w:t>
            </w:r>
          </w:p>
        </w:tc>
        <w:tc>
          <w:tcPr>
            <w:tcW w:w="668"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0.3</w:t>
            </w:r>
          </w:p>
        </w:tc>
        <w:tc>
          <w:tcPr>
            <w:tcW w:w="550"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70"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35"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84"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20</w:t>
            </w:r>
          </w:p>
        </w:tc>
        <w:tc>
          <w:tcPr>
            <w:tcW w:w="1644"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电力、热力生产和供应业</w:t>
            </w:r>
          </w:p>
        </w:tc>
        <w:tc>
          <w:tcPr>
            <w:tcW w:w="547"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188</w:t>
            </w:r>
          </w:p>
        </w:tc>
        <w:tc>
          <w:tcPr>
            <w:tcW w:w="668"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59.9</w:t>
            </w:r>
          </w:p>
        </w:tc>
        <w:tc>
          <w:tcPr>
            <w:tcW w:w="550"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98.9</w:t>
            </w:r>
          </w:p>
        </w:tc>
        <w:tc>
          <w:tcPr>
            <w:tcW w:w="670"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35"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99.5</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84"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21</w:t>
            </w:r>
          </w:p>
        </w:tc>
        <w:tc>
          <w:tcPr>
            <w:tcW w:w="1644"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水的生产和供应业</w:t>
            </w:r>
          </w:p>
        </w:tc>
        <w:tc>
          <w:tcPr>
            <w:tcW w:w="547"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2</w:t>
            </w:r>
          </w:p>
        </w:tc>
        <w:tc>
          <w:tcPr>
            <w:tcW w:w="668"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0.6</w:t>
            </w:r>
          </w:p>
        </w:tc>
        <w:tc>
          <w:tcPr>
            <w:tcW w:w="550"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70"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35"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84" w:type="pct"/>
            <w:tcBorders>
              <w:bottom w:val="single" w:color="auto" w:sz="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22</w:t>
            </w:r>
          </w:p>
        </w:tc>
        <w:tc>
          <w:tcPr>
            <w:tcW w:w="1644" w:type="pct"/>
            <w:tcBorders>
              <w:bottom w:val="single" w:color="auto" w:sz="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零售业</w:t>
            </w:r>
          </w:p>
        </w:tc>
        <w:tc>
          <w:tcPr>
            <w:tcW w:w="547" w:type="pct"/>
            <w:tcBorders>
              <w:bottom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w:t>
            </w:r>
          </w:p>
        </w:tc>
        <w:tc>
          <w:tcPr>
            <w:tcW w:w="668" w:type="pct"/>
            <w:tcBorders>
              <w:bottom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0.3</w:t>
            </w:r>
          </w:p>
        </w:tc>
        <w:tc>
          <w:tcPr>
            <w:tcW w:w="550" w:type="pct"/>
            <w:tcBorders>
              <w:bottom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70" w:type="pct"/>
            <w:tcBorders>
              <w:bottom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35" w:type="pct"/>
            <w:tcBorders>
              <w:bottom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84" w:type="pct"/>
            <w:tcBorders>
              <w:bottom w:val="single" w:color="auto" w:sz="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23</w:t>
            </w:r>
          </w:p>
        </w:tc>
        <w:tc>
          <w:tcPr>
            <w:tcW w:w="1644" w:type="pct"/>
            <w:tcBorders>
              <w:bottom w:val="single" w:color="auto" w:sz="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房地产业</w:t>
            </w:r>
          </w:p>
        </w:tc>
        <w:tc>
          <w:tcPr>
            <w:tcW w:w="547" w:type="pct"/>
            <w:tcBorders>
              <w:bottom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w:t>
            </w:r>
          </w:p>
        </w:tc>
        <w:tc>
          <w:tcPr>
            <w:tcW w:w="668" w:type="pct"/>
            <w:tcBorders>
              <w:bottom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0.3</w:t>
            </w:r>
          </w:p>
        </w:tc>
        <w:tc>
          <w:tcPr>
            <w:tcW w:w="550" w:type="pct"/>
            <w:tcBorders>
              <w:bottom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70" w:type="pct"/>
            <w:tcBorders>
              <w:bottom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35" w:type="pct"/>
            <w:tcBorders>
              <w:bottom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52" w:hRule="atLeast"/>
          <w:jc w:val="center"/>
        </w:trPr>
        <w:tc>
          <w:tcPr>
            <w:tcW w:w="284" w:type="pct"/>
            <w:tcBorders>
              <w:bottom w:val="single" w:color="auto" w:sz="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24</w:t>
            </w:r>
          </w:p>
        </w:tc>
        <w:tc>
          <w:tcPr>
            <w:tcW w:w="1644" w:type="pct"/>
            <w:tcBorders>
              <w:bottom w:val="single" w:color="auto" w:sz="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生态保护和环境治理业</w:t>
            </w:r>
          </w:p>
        </w:tc>
        <w:tc>
          <w:tcPr>
            <w:tcW w:w="547" w:type="pct"/>
            <w:tcBorders>
              <w:bottom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8</w:t>
            </w:r>
          </w:p>
        </w:tc>
        <w:tc>
          <w:tcPr>
            <w:tcW w:w="668" w:type="pct"/>
            <w:tcBorders>
              <w:bottom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2.5</w:t>
            </w:r>
          </w:p>
        </w:tc>
        <w:tc>
          <w:tcPr>
            <w:tcW w:w="550" w:type="pct"/>
            <w:tcBorders>
              <w:bottom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70" w:type="pct"/>
            <w:tcBorders>
              <w:bottom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35" w:type="pct"/>
            <w:tcBorders>
              <w:bottom w:val="single" w:color="auto" w:sz="2" w:space="0"/>
            </w:tcBorders>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84"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25</w:t>
            </w:r>
          </w:p>
        </w:tc>
        <w:tc>
          <w:tcPr>
            <w:tcW w:w="1644"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卫生</w:t>
            </w:r>
          </w:p>
        </w:tc>
        <w:tc>
          <w:tcPr>
            <w:tcW w:w="547"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2</w:t>
            </w:r>
          </w:p>
        </w:tc>
        <w:tc>
          <w:tcPr>
            <w:tcW w:w="668"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0.6</w:t>
            </w:r>
          </w:p>
        </w:tc>
        <w:tc>
          <w:tcPr>
            <w:tcW w:w="550"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70"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35"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84"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26</w:t>
            </w:r>
          </w:p>
        </w:tc>
        <w:tc>
          <w:tcPr>
            <w:tcW w:w="1644"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社会工作</w:t>
            </w:r>
          </w:p>
        </w:tc>
        <w:tc>
          <w:tcPr>
            <w:tcW w:w="547"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5</w:t>
            </w:r>
          </w:p>
        </w:tc>
        <w:tc>
          <w:tcPr>
            <w:tcW w:w="668"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1.6</w:t>
            </w:r>
          </w:p>
        </w:tc>
        <w:tc>
          <w:tcPr>
            <w:tcW w:w="550"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70"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35"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r>
        <w:tblPrEx>
          <w:tblBorders>
            <w:top w:val="single" w:color="auto" w:sz="6" w:space="0"/>
            <w:left w:val="none" w:color="auto" w:sz="0" w:space="0"/>
            <w:bottom w:val="single" w:color="auto" w:sz="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97" w:hRule="atLeast"/>
          <w:jc w:val="center"/>
        </w:trPr>
        <w:tc>
          <w:tcPr>
            <w:tcW w:w="284"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27</w:t>
            </w:r>
          </w:p>
        </w:tc>
        <w:tc>
          <w:tcPr>
            <w:tcW w:w="1644"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锅炉</w:t>
            </w:r>
          </w:p>
        </w:tc>
        <w:tc>
          <w:tcPr>
            <w:tcW w:w="547"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w:t>
            </w:r>
          </w:p>
        </w:tc>
        <w:tc>
          <w:tcPr>
            <w:tcW w:w="668"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0.3</w:t>
            </w:r>
          </w:p>
        </w:tc>
        <w:tc>
          <w:tcPr>
            <w:tcW w:w="550"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70"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c>
          <w:tcPr>
            <w:tcW w:w="635" w:type="pct"/>
            <w:shd w:val="clear" w:color="auto" w:fill="auto"/>
            <w:vAlign w:val="bottom"/>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21"/>
                <w:szCs w:val="21"/>
                <w:vertAlign w:val="baseline"/>
                <w:lang w:val="en-US" w:eastAsia="zh-CN"/>
                <w14:textFill>
                  <w14:solidFill>
                    <w14:schemeClr w14:val="tx1"/>
                  </w14:solidFill>
                </w14:textFill>
              </w:rPr>
              <w:t>100</w:t>
            </w:r>
          </w:p>
        </w:tc>
      </w:tr>
    </w:tbl>
    <w:p>
      <w:pPr>
        <w:pStyle w:val="3"/>
        <w:bidi w:val="0"/>
        <w:rPr>
          <w:rFonts w:hint="default" w:ascii="Times New Roman" w:hAnsi="Times New Roman" w:eastAsia="黑体" w:cs="Times New Roman"/>
          <w:b w:val="0"/>
          <w:bCs/>
          <w:sz w:val="28"/>
          <w:szCs w:val="28"/>
          <w:lang w:val="en-US" w:eastAsia="zh-CN"/>
        </w:rPr>
      </w:pPr>
      <w:bookmarkStart w:id="36" w:name="_Toc16448"/>
      <w:bookmarkStart w:id="37" w:name="_Toc1295"/>
      <w:bookmarkStart w:id="38" w:name="_Toc29312"/>
      <w:r>
        <w:rPr>
          <w:rFonts w:hint="default" w:ascii="Times New Roman" w:hAnsi="Times New Roman" w:eastAsia="黑体" w:cs="Times New Roman"/>
          <w:b w:val="0"/>
          <w:bCs/>
          <w:sz w:val="28"/>
          <w:szCs w:val="28"/>
          <w:lang w:val="en-US" w:eastAsia="zh-CN"/>
        </w:rPr>
        <w:t>2.2.5废气污染源执法监测五年分析</w:t>
      </w:r>
      <w:bookmarkEnd w:id="36"/>
      <w:bookmarkEnd w:id="37"/>
      <w:bookmarkEnd w:id="38"/>
    </w:p>
    <w:p>
      <w:pPr>
        <w:numPr>
          <w:ilvl w:val="0"/>
          <w:numId w:val="0"/>
        </w:numPr>
        <w:ind w:firstLine="560" w:firstLineChars="200"/>
        <w:rPr>
          <w:rFonts w:hint="default" w:ascii="Times New Roman" w:hAnsi="Times New Roman" w:eastAsia="黑体" w:cs="Times New Roman"/>
          <w:b w:val="0"/>
          <w:bCs w:val="0"/>
          <w:color w:val="auto"/>
          <w:lang w:val="en-US" w:eastAsia="zh-CN"/>
        </w:rPr>
      </w:pPr>
      <w:r>
        <w:rPr>
          <w:rFonts w:hint="default" w:ascii="Times New Roman" w:hAnsi="Times New Roman" w:eastAsia="黑体" w:cs="Times New Roman"/>
          <w:b w:val="0"/>
          <w:bCs w:val="0"/>
          <w:color w:val="auto"/>
          <w:lang w:val="en-US" w:eastAsia="zh-CN"/>
        </w:rPr>
        <w:t>1、废</w:t>
      </w:r>
      <w:r>
        <w:rPr>
          <w:rFonts w:hint="eastAsia" w:eastAsia="黑体" w:cs="Times New Roman"/>
          <w:b w:val="0"/>
          <w:bCs w:val="0"/>
          <w:color w:val="auto"/>
          <w:lang w:val="en-US" w:eastAsia="zh-CN"/>
        </w:rPr>
        <w:t>气</w:t>
      </w:r>
      <w:r>
        <w:rPr>
          <w:rFonts w:hint="default" w:ascii="Times New Roman" w:hAnsi="Times New Roman" w:eastAsia="黑体" w:cs="Times New Roman"/>
          <w:b w:val="0"/>
          <w:bCs w:val="0"/>
          <w:color w:val="auto"/>
          <w:lang w:val="en-US" w:eastAsia="zh-CN"/>
        </w:rPr>
        <w:t>污染源执法监测企业总数变化情况</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2018—2022年吉林省废气污染源执法监测企业，详见表2-10。</w:t>
      </w:r>
    </w:p>
    <w:p>
      <w:pPr>
        <w:keepNext w:val="0"/>
        <w:keepLines w:val="0"/>
        <w:pageBreakBefore w:val="0"/>
        <w:widowControl w:val="0"/>
        <w:kinsoku/>
        <w:wordWrap/>
        <w:overflowPunct/>
        <w:topLinePunct w:val="0"/>
        <w:autoSpaceDE/>
        <w:autoSpaceDN/>
        <w:bidi w:val="0"/>
        <w:adjustRightInd/>
        <w:snapToGrid/>
        <w:spacing w:before="157" w:beforeLines="50"/>
        <w:ind w:firstLine="480" w:firstLineChars="200"/>
        <w:jc w:val="center"/>
        <w:textAlignment w:val="auto"/>
        <w:rPr>
          <w:rFonts w:hint="default" w:ascii="Times New Roman" w:hAnsi="Times New Roman" w:eastAsia="黑体" w:cs="Times New Roman"/>
          <w:b w:val="0"/>
          <w:bCs w:val="0"/>
          <w:color w:val="FF0000"/>
          <w:sz w:val="24"/>
          <w:szCs w:val="24"/>
          <w:lang w:val="en-US" w:eastAsia="zh-CN"/>
        </w:rPr>
      </w:pPr>
      <w:r>
        <w:rPr>
          <w:rFonts w:hint="default" w:ascii="Times New Roman" w:hAnsi="Times New Roman" w:eastAsia="黑体" w:cs="Times New Roman"/>
          <w:b w:val="0"/>
          <w:bCs w:val="0"/>
          <w:color w:val="000000" w:themeColor="text1"/>
          <w:sz w:val="24"/>
          <w:szCs w:val="24"/>
          <w:lang w:val="en-US" w:eastAsia="zh-CN"/>
          <w14:textFill>
            <w14:solidFill>
              <w14:schemeClr w14:val="tx1"/>
            </w14:solidFill>
          </w14:textFill>
        </w:rPr>
        <w:t>表2-10</w:t>
      </w:r>
      <w:r>
        <w:rPr>
          <w:rFonts w:hint="default" w:ascii="Times New Roman" w:hAnsi="Times New Roman" w:eastAsia="黑体" w:cs="Times New Roman"/>
          <w:b w:val="0"/>
          <w:bCs w:val="0"/>
          <w:color w:val="FF0000"/>
          <w:sz w:val="24"/>
          <w:szCs w:val="24"/>
          <w:lang w:val="en-US" w:eastAsia="zh-CN"/>
        </w:rPr>
        <w:t xml:space="preserve">  </w:t>
      </w:r>
      <w:r>
        <w:rPr>
          <w:rFonts w:hint="default" w:ascii="Times New Roman" w:hAnsi="Times New Roman" w:eastAsia="黑体" w:cs="Times New Roman"/>
          <w:b w:val="0"/>
          <w:bCs w:val="0"/>
          <w:color w:val="000000" w:themeColor="text1"/>
          <w:sz w:val="24"/>
          <w:szCs w:val="24"/>
          <w:lang w:val="en-US" w:eastAsia="zh-CN"/>
          <w14:textFill>
            <w14:solidFill>
              <w14:schemeClr w14:val="tx1"/>
            </w14:solidFill>
          </w14:textFill>
        </w:rPr>
        <w:t>2018-2022年监测企业总数变化情况</w:t>
      </w:r>
    </w:p>
    <w:tbl>
      <w:tblPr>
        <w:tblStyle w:val="10"/>
        <w:tblW w:w="9074" w:type="dxa"/>
        <w:tblInd w:w="0" w:type="dxa"/>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Layout w:type="fixed"/>
        <w:tblCellMar>
          <w:top w:w="0" w:type="dxa"/>
          <w:left w:w="108" w:type="dxa"/>
          <w:bottom w:w="0" w:type="dxa"/>
          <w:right w:w="108" w:type="dxa"/>
        </w:tblCellMar>
      </w:tblPr>
      <w:tblGrid>
        <w:gridCol w:w="1403"/>
        <w:gridCol w:w="1534"/>
        <w:gridCol w:w="1534"/>
        <w:gridCol w:w="1534"/>
        <w:gridCol w:w="1534"/>
        <w:gridCol w:w="1535"/>
      </w:tblGrid>
      <w:tr>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rPr>
          <w:trHeight w:val="681" w:hRule="atLeast"/>
        </w:trPr>
        <w:tc>
          <w:tcPr>
            <w:tcW w:w="1403" w:type="dxa"/>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黑体" w:cs="Times New Roman"/>
                <w:b/>
                <w:color w:val="000000" w:themeColor="text1"/>
                <w:sz w:val="24"/>
                <w:szCs w:val="24"/>
                <w:lang w:val="en-US" w:eastAsia="zh-CN"/>
                <w14:textFill>
                  <w14:solidFill>
                    <w14:schemeClr w14:val="tx1"/>
                  </w14:solidFill>
                </w14:textFill>
              </w:rPr>
            </w:pPr>
            <w:r>
              <w:rPr>
                <w:rFonts w:hint="default" w:ascii="Times New Roman" w:hAnsi="Times New Roman" w:eastAsia="黑体" w:cs="Times New Roman"/>
                <w:b/>
                <w:color w:val="000000" w:themeColor="text1"/>
                <w:sz w:val="24"/>
                <w:szCs w:val="24"/>
                <w:lang w:val="en-US" w:eastAsia="zh-CN"/>
                <w14:textFill>
                  <w14:solidFill>
                    <w14:schemeClr w14:val="tx1"/>
                  </w14:solidFill>
                </w14:textFill>
              </w:rPr>
              <w:t>年度</w:t>
            </w:r>
          </w:p>
        </w:tc>
        <w:tc>
          <w:tcPr>
            <w:tcW w:w="1534" w:type="dxa"/>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黑体" w:cs="Times New Roman"/>
                <w:b/>
                <w:color w:val="000000" w:themeColor="text1"/>
                <w:sz w:val="24"/>
                <w:szCs w:val="24"/>
                <w:lang w:val="en-US" w:eastAsia="zh-CN"/>
                <w14:textFill>
                  <w14:solidFill>
                    <w14:schemeClr w14:val="tx1"/>
                  </w14:solidFill>
                </w14:textFill>
              </w:rPr>
            </w:pPr>
            <w:r>
              <w:rPr>
                <w:rFonts w:hint="default" w:ascii="Times New Roman" w:hAnsi="Times New Roman" w:eastAsia="黑体" w:cs="Times New Roman"/>
                <w:b/>
                <w:color w:val="000000" w:themeColor="text1"/>
                <w:sz w:val="24"/>
                <w:szCs w:val="24"/>
                <w:lang w:val="en-US" w:eastAsia="zh-CN"/>
                <w14:textFill>
                  <w14:solidFill>
                    <w14:schemeClr w14:val="tx1"/>
                  </w14:solidFill>
                </w14:textFill>
              </w:rPr>
              <w:t>2018年</w:t>
            </w:r>
          </w:p>
        </w:tc>
        <w:tc>
          <w:tcPr>
            <w:tcW w:w="1534" w:type="dxa"/>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黑体" w:cs="Times New Roman"/>
                <w:b/>
                <w:color w:val="000000" w:themeColor="text1"/>
                <w:sz w:val="24"/>
                <w:szCs w:val="24"/>
                <w:lang w:val="en-US" w:eastAsia="zh-CN"/>
                <w14:textFill>
                  <w14:solidFill>
                    <w14:schemeClr w14:val="tx1"/>
                  </w14:solidFill>
                </w14:textFill>
              </w:rPr>
            </w:pPr>
            <w:r>
              <w:rPr>
                <w:rFonts w:hint="default" w:ascii="Times New Roman" w:hAnsi="Times New Roman" w:eastAsia="黑体" w:cs="Times New Roman"/>
                <w:b/>
                <w:color w:val="000000" w:themeColor="text1"/>
                <w:sz w:val="24"/>
                <w:szCs w:val="24"/>
                <w:lang w:val="en-US" w:eastAsia="zh-CN"/>
                <w14:textFill>
                  <w14:solidFill>
                    <w14:schemeClr w14:val="tx1"/>
                  </w14:solidFill>
                </w14:textFill>
              </w:rPr>
              <w:t>2019年</w:t>
            </w:r>
          </w:p>
        </w:tc>
        <w:tc>
          <w:tcPr>
            <w:tcW w:w="1534" w:type="dxa"/>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黑体" w:cs="Times New Roman"/>
                <w:b/>
                <w:color w:val="000000" w:themeColor="text1"/>
                <w:sz w:val="24"/>
                <w:szCs w:val="24"/>
                <w:lang w:val="en-US" w:eastAsia="zh-CN"/>
                <w14:textFill>
                  <w14:solidFill>
                    <w14:schemeClr w14:val="tx1"/>
                  </w14:solidFill>
                </w14:textFill>
              </w:rPr>
            </w:pPr>
            <w:r>
              <w:rPr>
                <w:rFonts w:hint="default" w:ascii="Times New Roman" w:hAnsi="Times New Roman" w:eastAsia="黑体" w:cs="Times New Roman"/>
                <w:b/>
                <w:color w:val="000000" w:themeColor="text1"/>
                <w:sz w:val="24"/>
                <w:szCs w:val="24"/>
                <w:lang w:val="en-US" w:eastAsia="zh-CN"/>
                <w14:textFill>
                  <w14:solidFill>
                    <w14:schemeClr w14:val="tx1"/>
                  </w14:solidFill>
                </w14:textFill>
              </w:rPr>
              <w:t>2020年</w:t>
            </w:r>
          </w:p>
        </w:tc>
        <w:tc>
          <w:tcPr>
            <w:tcW w:w="1534" w:type="dxa"/>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黑体" w:cs="Times New Roman"/>
                <w:b/>
                <w:color w:val="000000" w:themeColor="text1"/>
                <w:sz w:val="24"/>
                <w:szCs w:val="24"/>
                <w:lang w:val="en-US" w:eastAsia="zh-CN"/>
                <w14:textFill>
                  <w14:solidFill>
                    <w14:schemeClr w14:val="tx1"/>
                  </w14:solidFill>
                </w14:textFill>
              </w:rPr>
            </w:pPr>
            <w:r>
              <w:rPr>
                <w:rFonts w:hint="default" w:ascii="Times New Roman" w:hAnsi="Times New Roman" w:eastAsia="黑体" w:cs="Times New Roman"/>
                <w:b/>
                <w:color w:val="000000" w:themeColor="text1"/>
                <w:sz w:val="24"/>
                <w:szCs w:val="24"/>
                <w:lang w:val="en-US" w:eastAsia="zh-CN"/>
                <w14:textFill>
                  <w14:solidFill>
                    <w14:schemeClr w14:val="tx1"/>
                  </w14:solidFill>
                </w14:textFill>
              </w:rPr>
              <w:t>2021年</w:t>
            </w:r>
          </w:p>
        </w:tc>
        <w:tc>
          <w:tcPr>
            <w:tcW w:w="1535" w:type="dxa"/>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黑体" w:cs="Times New Roman"/>
                <w:b/>
                <w:color w:val="000000" w:themeColor="text1"/>
                <w:sz w:val="24"/>
                <w:szCs w:val="24"/>
                <w:lang w:val="en-US" w:eastAsia="zh-CN"/>
                <w14:textFill>
                  <w14:solidFill>
                    <w14:schemeClr w14:val="tx1"/>
                  </w14:solidFill>
                </w14:textFill>
              </w:rPr>
            </w:pPr>
            <w:r>
              <w:rPr>
                <w:rFonts w:hint="default" w:ascii="Times New Roman" w:hAnsi="Times New Roman" w:eastAsia="黑体" w:cs="Times New Roman"/>
                <w:b/>
                <w:color w:val="000000" w:themeColor="text1"/>
                <w:sz w:val="24"/>
                <w:szCs w:val="24"/>
                <w:lang w:val="en-US" w:eastAsia="zh-CN"/>
                <w14:textFill>
                  <w14:solidFill>
                    <w14:schemeClr w14:val="tx1"/>
                  </w14:solidFill>
                </w14:textFill>
              </w:rPr>
              <w:t>2022年</w:t>
            </w:r>
          </w:p>
        </w:tc>
      </w:tr>
      <w:tr>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rPr>
          <w:trHeight w:val="329" w:hRule="atLeast"/>
        </w:trPr>
        <w:tc>
          <w:tcPr>
            <w:tcW w:w="1403" w:type="dxa"/>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监测企业（家）次</w:t>
            </w:r>
          </w:p>
        </w:tc>
        <w:tc>
          <w:tcPr>
            <w:tcW w:w="1534" w:type="dxa"/>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309</w:t>
            </w:r>
          </w:p>
        </w:tc>
        <w:tc>
          <w:tcPr>
            <w:tcW w:w="1534" w:type="dxa"/>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172</w:t>
            </w:r>
          </w:p>
        </w:tc>
        <w:tc>
          <w:tcPr>
            <w:tcW w:w="1534" w:type="dxa"/>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214</w:t>
            </w:r>
          </w:p>
        </w:tc>
        <w:tc>
          <w:tcPr>
            <w:tcW w:w="1534" w:type="dxa"/>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199</w:t>
            </w:r>
          </w:p>
        </w:tc>
        <w:tc>
          <w:tcPr>
            <w:tcW w:w="1535" w:type="dxa"/>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314</w:t>
            </w:r>
          </w:p>
        </w:tc>
      </w:tr>
    </w:tbl>
    <w:p>
      <w:pPr>
        <w:numPr>
          <w:ilvl w:val="0"/>
          <w:numId w:val="0"/>
        </w:numPr>
        <w:ind w:firstLine="560" w:firstLineChars="200"/>
        <w:rPr>
          <w:rFonts w:hint="default" w:ascii="Times New Roman" w:hAnsi="Times New Roman" w:eastAsia="黑体" w:cs="Times New Roman"/>
          <w:b w:val="0"/>
          <w:bCs w:val="0"/>
          <w:color w:val="auto"/>
          <w:lang w:val="en-US" w:eastAsia="zh-CN"/>
        </w:rPr>
      </w:pPr>
      <w:r>
        <w:rPr>
          <w:rFonts w:hint="default" w:ascii="Times New Roman" w:hAnsi="Times New Roman" w:eastAsia="黑体" w:cs="Times New Roman"/>
          <w:b w:val="0"/>
          <w:bCs w:val="0"/>
          <w:color w:val="auto"/>
          <w:lang w:val="en-US" w:eastAsia="zh-CN"/>
        </w:rPr>
        <w:t>2、废</w:t>
      </w:r>
      <w:r>
        <w:rPr>
          <w:rFonts w:hint="eastAsia" w:eastAsia="黑体" w:cs="Times New Roman"/>
          <w:b w:val="0"/>
          <w:bCs w:val="0"/>
          <w:color w:val="auto"/>
          <w:lang w:val="en-US" w:eastAsia="zh-CN"/>
        </w:rPr>
        <w:t>气</w:t>
      </w:r>
      <w:r>
        <w:rPr>
          <w:rFonts w:hint="default" w:ascii="Times New Roman" w:hAnsi="Times New Roman" w:eastAsia="黑体" w:cs="Times New Roman"/>
          <w:b w:val="0"/>
          <w:bCs w:val="0"/>
          <w:color w:val="auto"/>
          <w:lang w:val="en-US" w:eastAsia="zh-CN"/>
        </w:rPr>
        <w:t>污染源执法监测企业超标和达标情况</w:t>
      </w:r>
    </w:p>
    <w:p>
      <w:pPr>
        <w:ind w:firstLine="560" w:firstLineChars="200"/>
        <w:rPr>
          <w:rFonts w:hint="default" w:ascii="Times New Roman" w:hAnsi="Times New Roman" w:cs="Times New Roman"/>
          <w:color w:val="FF0000"/>
          <w:lang w:val="en-US" w:eastAsia="zh-CN"/>
        </w:rPr>
      </w:pPr>
      <w:r>
        <w:rPr>
          <w:rFonts w:hint="default" w:ascii="Times New Roman" w:hAnsi="Times New Roman" w:cs="Times New Roman"/>
          <w:color w:val="000000" w:themeColor="text1"/>
          <w:lang w:val="en-US" w:eastAsia="zh-CN"/>
          <w14:textFill>
            <w14:solidFill>
              <w14:schemeClr w14:val="tx1"/>
            </w14:solidFill>
          </w14:textFill>
        </w:rPr>
        <w:t>2018—2022年吉林省废气污染源执法监测监测企业超标和达标情况，详见表2-11。</w:t>
      </w:r>
    </w:p>
    <w:p>
      <w:pPr>
        <w:keepNext w:val="0"/>
        <w:keepLines w:val="0"/>
        <w:pageBreakBefore w:val="0"/>
        <w:widowControl w:val="0"/>
        <w:kinsoku/>
        <w:wordWrap/>
        <w:overflowPunct/>
        <w:topLinePunct w:val="0"/>
        <w:autoSpaceDE/>
        <w:autoSpaceDN/>
        <w:bidi w:val="0"/>
        <w:adjustRightInd/>
        <w:snapToGrid/>
        <w:spacing w:before="157" w:beforeLines="50"/>
        <w:ind w:firstLine="480" w:firstLineChars="200"/>
        <w:jc w:val="center"/>
        <w:textAlignment w:val="auto"/>
        <w:rPr>
          <w:rFonts w:hint="default" w:ascii="Times New Roman" w:hAnsi="Times New Roman" w:eastAsia="黑体"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4"/>
          <w:szCs w:val="24"/>
          <w:lang w:val="en-US" w:eastAsia="zh-CN"/>
          <w14:textFill>
            <w14:solidFill>
              <w14:schemeClr w14:val="tx1"/>
            </w14:solidFill>
          </w14:textFill>
        </w:rPr>
        <w:t>表2-11  2018-2022年监测企业超标情况和达标率情况</w:t>
      </w:r>
    </w:p>
    <w:tbl>
      <w:tblPr>
        <w:tblStyle w:val="10"/>
        <w:tblW w:w="8979"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08"/>
        <w:gridCol w:w="1534"/>
        <w:gridCol w:w="1534"/>
        <w:gridCol w:w="1534"/>
        <w:gridCol w:w="1534"/>
        <w:gridCol w:w="1535"/>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1" w:hRule="atLeast"/>
        </w:trPr>
        <w:tc>
          <w:tcPr>
            <w:tcW w:w="1308" w:type="dxa"/>
            <w:tcBorders>
              <w:bottom w:val="single" w:color="auto" w:sz="12" w:space="0"/>
            </w:tcBorders>
            <w:noWrap w:val="0"/>
            <w:vAlign w:val="center"/>
          </w:tcPr>
          <w:p>
            <w:pPr>
              <w:spacing w:line="320" w:lineRule="exact"/>
              <w:ind w:left="0" w:leftChars="0" w:firstLine="0" w:firstLineChars="0"/>
              <w:jc w:val="center"/>
              <w:rPr>
                <w:rFonts w:hint="default" w:ascii="Times New Roman" w:hAnsi="Times New Roman" w:eastAsia="仿宋" w:cs="Times New Roman"/>
                <w:b/>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color w:val="000000" w:themeColor="text1"/>
                <w:sz w:val="24"/>
                <w:szCs w:val="24"/>
                <w:lang w:val="en-US" w:eastAsia="zh-CN"/>
                <w14:textFill>
                  <w14:solidFill>
                    <w14:schemeClr w14:val="tx1"/>
                  </w14:solidFill>
                </w14:textFill>
              </w:rPr>
              <w:t>年度</w:t>
            </w:r>
          </w:p>
        </w:tc>
        <w:tc>
          <w:tcPr>
            <w:tcW w:w="1534" w:type="dxa"/>
            <w:tcBorders>
              <w:bottom w:val="single" w:color="auto" w:sz="12" w:space="0"/>
            </w:tcBorders>
            <w:noWrap w:val="0"/>
            <w:vAlign w:val="center"/>
          </w:tcPr>
          <w:p>
            <w:pPr>
              <w:spacing w:line="320" w:lineRule="exact"/>
              <w:ind w:left="0" w:leftChars="0" w:firstLine="0" w:firstLineChars="0"/>
              <w:jc w:val="center"/>
              <w:rPr>
                <w:rFonts w:hint="default" w:ascii="Times New Roman" w:hAnsi="Times New Roman" w:eastAsia="仿宋" w:cs="Times New Roman"/>
                <w:b/>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color w:val="000000" w:themeColor="text1"/>
                <w:sz w:val="24"/>
                <w:szCs w:val="24"/>
                <w:lang w:val="en-US" w:eastAsia="zh-CN"/>
                <w14:textFill>
                  <w14:solidFill>
                    <w14:schemeClr w14:val="tx1"/>
                  </w14:solidFill>
                </w14:textFill>
              </w:rPr>
              <w:t>2018年</w:t>
            </w:r>
          </w:p>
        </w:tc>
        <w:tc>
          <w:tcPr>
            <w:tcW w:w="1534" w:type="dxa"/>
            <w:tcBorders>
              <w:bottom w:val="single" w:color="auto" w:sz="12" w:space="0"/>
            </w:tcBorders>
            <w:noWrap w:val="0"/>
            <w:vAlign w:val="center"/>
          </w:tcPr>
          <w:p>
            <w:pPr>
              <w:spacing w:line="320" w:lineRule="exact"/>
              <w:ind w:left="0" w:leftChars="0" w:firstLine="0" w:firstLineChars="0"/>
              <w:jc w:val="center"/>
              <w:rPr>
                <w:rFonts w:hint="default" w:ascii="Times New Roman" w:hAnsi="Times New Roman" w:eastAsia="仿宋" w:cs="Times New Roman"/>
                <w:b/>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color w:val="000000" w:themeColor="text1"/>
                <w:sz w:val="24"/>
                <w:szCs w:val="24"/>
                <w:lang w:val="en-US" w:eastAsia="zh-CN"/>
                <w14:textFill>
                  <w14:solidFill>
                    <w14:schemeClr w14:val="tx1"/>
                  </w14:solidFill>
                </w14:textFill>
              </w:rPr>
              <w:t>2019年</w:t>
            </w:r>
          </w:p>
        </w:tc>
        <w:tc>
          <w:tcPr>
            <w:tcW w:w="1534" w:type="dxa"/>
            <w:tcBorders>
              <w:bottom w:val="single" w:color="auto" w:sz="12" w:space="0"/>
            </w:tcBorders>
            <w:noWrap w:val="0"/>
            <w:vAlign w:val="center"/>
          </w:tcPr>
          <w:p>
            <w:pPr>
              <w:spacing w:line="320" w:lineRule="exact"/>
              <w:ind w:left="0" w:leftChars="0" w:firstLine="0" w:firstLineChars="0"/>
              <w:jc w:val="center"/>
              <w:rPr>
                <w:rFonts w:hint="default" w:ascii="Times New Roman" w:hAnsi="Times New Roman" w:eastAsia="仿宋" w:cs="Times New Roman"/>
                <w:b/>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color w:val="000000" w:themeColor="text1"/>
                <w:sz w:val="24"/>
                <w:szCs w:val="24"/>
                <w:lang w:val="en-US" w:eastAsia="zh-CN"/>
                <w14:textFill>
                  <w14:solidFill>
                    <w14:schemeClr w14:val="tx1"/>
                  </w14:solidFill>
                </w14:textFill>
              </w:rPr>
              <w:t>2020年</w:t>
            </w:r>
          </w:p>
        </w:tc>
        <w:tc>
          <w:tcPr>
            <w:tcW w:w="1534" w:type="dxa"/>
            <w:tcBorders>
              <w:bottom w:val="single" w:color="auto" w:sz="12" w:space="0"/>
            </w:tcBorders>
            <w:noWrap w:val="0"/>
            <w:vAlign w:val="center"/>
          </w:tcPr>
          <w:p>
            <w:pPr>
              <w:spacing w:line="320" w:lineRule="exact"/>
              <w:ind w:left="0" w:leftChars="0" w:firstLine="0" w:firstLineChars="0"/>
              <w:jc w:val="center"/>
              <w:rPr>
                <w:rFonts w:hint="default" w:ascii="Times New Roman" w:hAnsi="Times New Roman" w:eastAsia="仿宋" w:cs="Times New Roman"/>
                <w:b/>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color w:val="000000" w:themeColor="text1"/>
                <w:sz w:val="24"/>
                <w:szCs w:val="24"/>
                <w:lang w:val="en-US" w:eastAsia="zh-CN"/>
                <w14:textFill>
                  <w14:solidFill>
                    <w14:schemeClr w14:val="tx1"/>
                  </w14:solidFill>
                </w14:textFill>
              </w:rPr>
              <w:t>2021年</w:t>
            </w:r>
          </w:p>
        </w:tc>
        <w:tc>
          <w:tcPr>
            <w:tcW w:w="1535" w:type="dxa"/>
            <w:tcBorders>
              <w:bottom w:val="single" w:color="auto" w:sz="12" w:space="0"/>
            </w:tcBorders>
            <w:noWrap w:val="0"/>
            <w:vAlign w:val="center"/>
          </w:tcPr>
          <w:p>
            <w:pPr>
              <w:spacing w:line="320" w:lineRule="exact"/>
              <w:ind w:left="0" w:leftChars="0" w:firstLine="0" w:firstLineChars="0"/>
              <w:jc w:val="center"/>
              <w:rPr>
                <w:rFonts w:hint="default" w:ascii="Times New Roman" w:hAnsi="Times New Roman" w:eastAsia="仿宋" w:cs="Times New Roman"/>
                <w:b/>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color w:val="000000" w:themeColor="text1"/>
                <w:sz w:val="24"/>
                <w:szCs w:val="24"/>
                <w:lang w:val="en-US" w:eastAsia="zh-CN"/>
                <w14:textFill>
                  <w14:solidFill>
                    <w14:schemeClr w14:val="tx1"/>
                  </w14:solidFill>
                </w14:textFill>
              </w:rPr>
              <w:t>2022年</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308" w:type="dxa"/>
            <w:tcBorders>
              <w:top w:val="single" w:color="auto" w:sz="12" w:space="0"/>
              <w:tl2br w:val="nil"/>
              <w:tr2bl w:val="nil"/>
            </w:tcBorders>
            <w:noWrap w:val="0"/>
            <w:vAlign w:val="center"/>
          </w:tcPr>
          <w:p>
            <w:pPr>
              <w:spacing w:line="320" w:lineRule="exact"/>
              <w:ind w:left="0" w:leftChars="0" w:firstLine="0" w:firstLineChars="0"/>
              <w:jc w:val="center"/>
              <w:rPr>
                <w:rFonts w:hint="default" w:ascii="Times New Roman" w:hAnsi="Times New Roman" w:eastAsia="仿宋"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仿宋" w:cs="Times New Roman"/>
                <w:b w:val="0"/>
                <w:bCs/>
                <w:color w:val="000000" w:themeColor="text1"/>
                <w:sz w:val="21"/>
                <w:szCs w:val="21"/>
                <w:lang w:val="en-US" w:eastAsia="zh-CN"/>
                <w14:textFill>
                  <w14:solidFill>
                    <w14:schemeClr w14:val="tx1"/>
                  </w14:solidFill>
                </w14:textFill>
              </w:rPr>
              <w:t>超标企业（家）次</w:t>
            </w:r>
          </w:p>
        </w:tc>
        <w:tc>
          <w:tcPr>
            <w:tcW w:w="1534" w:type="dxa"/>
            <w:tcBorders>
              <w:top w:val="single" w:color="auto" w:sz="12" w:space="0"/>
              <w:tl2br w:val="nil"/>
              <w:tr2bl w:val="nil"/>
            </w:tcBorders>
            <w:noWrap w:val="0"/>
            <w:vAlign w:val="center"/>
          </w:tcPr>
          <w:p>
            <w:pPr>
              <w:spacing w:line="320" w:lineRule="exact"/>
              <w:ind w:left="0" w:leftChars="0" w:firstLine="0" w:firstLineChars="0"/>
              <w:jc w:val="center"/>
              <w:rPr>
                <w:rFonts w:hint="default" w:ascii="Times New Roman" w:hAnsi="Times New Roman" w:eastAsia="仿宋"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仿宋" w:cs="Times New Roman"/>
                <w:b w:val="0"/>
                <w:bCs/>
                <w:color w:val="000000" w:themeColor="text1"/>
                <w:sz w:val="21"/>
                <w:szCs w:val="21"/>
                <w:lang w:val="en-US" w:eastAsia="zh-CN"/>
                <w14:textFill>
                  <w14:solidFill>
                    <w14:schemeClr w14:val="tx1"/>
                  </w14:solidFill>
                </w14:textFill>
              </w:rPr>
              <w:t>23</w:t>
            </w:r>
          </w:p>
        </w:tc>
        <w:tc>
          <w:tcPr>
            <w:tcW w:w="1534" w:type="dxa"/>
            <w:tcBorders>
              <w:top w:val="single" w:color="auto" w:sz="12" w:space="0"/>
              <w:tl2br w:val="nil"/>
              <w:tr2bl w:val="nil"/>
            </w:tcBorders>
            <w:noWrap w:val="0"/>
            <w:vAlign w:val="center"/>
          </w:tcPr>
          <w:p>
            <w:pPr>
              <w:spacing w:line="320" w:lineRule="exact"/>
              <w:ind w:left="0" w:leftChars="0" w:firstLine="0" w:firstLineChars="0"/>
              <w:jc w:val="center"/>
              <w:rPr>
                <w:rFonts w:hint="default" w:ascii="Times New Roman" w:hAnsi="Times New Roman" w:eastAsia="仿宋"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仿宋" w:cs="Times New Roman"/>
                <w:b w:val="0"/>
                <w:bCs/>
                <w:color w:val="000000" w:themeColor="text1"/>
                <w:sz w:val="21"/>
                <w:szCs w:val="21"/>
                <w:lang w:val="en-US" w:eastAsia="zh-CN"/>
                <w14:textFill>
                  <w14:solidFill>
                    <w14:schemeClr w14:val="tx1"/>
                  </w14:solidFill>
                </w14:textFill>
              </w:rPr>
              <w:t>11</w:t>
            </w:r>
          </w:p>
        </w:tc>
        <w:tc>
          <w:tcPr>
            <w:tcW w:w="1534" w:type="dxa"/>
            <w:tcBorders>
              <w:top w:val="single" w:color="auto" w:sz="12" w:space="0"/>
              <w:tl2br w:val="nil"/>
              <w:tr2bl w:val="nil"/>
            </w:tcBorders>
            <w:noWrap w:val="0"/>
            <w:vAlign w:val="center"/>
          </w:tcPr>
          <w:p>
            <w:pPr>
              <w:spacing w:line="320" w:lineRule="exact"/>
              <w:ind w:left="0" w:leftChars="0" w:firstLine="0" w:firstLineChars="0"/>
              <w:jc w:val="center"/>
              <w:rPr>
                <w:rFonts w:hint="default" w:ascii="Times New Roman" w:hAnsi="Times New Roman" w:eastAsia="仿宋"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仿宋" w:cs="Times New Roman"/>
                <w:b w:val="0"/>
                <w:bCs/>
                <w:color w:val="000000" w:themeColor="text1"/>
                <w:sz w:val="21"/>
                <w:szCs w:val="21"/>
                <w:lang w:val="en-US" w:eastAsia="zh-CN"/>
                <w14:textFill>
                  <w14:solidFill>
                    <w14:schemeClr w14:val="tx1"/>
                  </w14:solidFill>
                </w14:textFill>
              </w:rPr>
              <w:t>7</w:t>
            </w:r>
          </w:p>
        </w:tc>
        <w:tc>
          <w:tcPr>
            <w:tcW w:w="1534" w:type="dxa"/>
            <w:tcBorders>
              <w:top w:val="single" w:color="auto" w:sz="12" w:space="0"/>
              <w:tl2br w:val="nil"/>
              <w:tr2bl w:val="nil"/>
            </w:tcBorders>
            <w:noWrap w:val="0"/>
            <w:vAlign w:val="center"/>
          </w:tcPr>
          <w:p>
            <w:pPr>
              <w:spacing w:line="320" w:lineRule="exact"/>
              <w:ind w:left="0" w:leftChars="0" w:firstLine="0" w:firstLineChars="0"/>
              <w:jc w:val="center"/>
              <w:rPr>
                <w:rFonts w:hint="default" w:ascii="Times New Roman" w:hAnsi="Times New Roman" w:eastAsia="仿宋"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仿宋" w:cs="Times New Roman"/>
                <w:b w:val="0"/>
                <w:bCs/>
                <w:color w:val="000000" w:themeColor="text1"/>
                <w:sz w:val="21"/>
                <w:szCs w:val="21"/>
                <w:lang w:val="en-US" w:eastAsia="zh-CN"/>
                <w14:textFill>
                  <w14:solidFill>
                    <w14:schemeClr w14:val="tx1"/>
                  </w14:solidFill>
                </w14:textFill>
              </w:rPr>
              <w:t>0</w:t>
            </w:r>
          </w:p>
        </w:tc>
        <w:tc>
          <w:tcPr>
            <w:tcW w:w="1535" w:type="dxa"/>
            <w:tcBorders>
              <w:top w:val="single" w:color="auto" w:sz="12" w:space="0"/>
              <w:tl2br w:val="nil"/>
              <w:tr2bl w:val="nil"/>
            </w:tcBorders>
            <w:noWrap w:val="0"/>
            <w:vAlign w:val="center"/>
          </w:tcPr>
          <w:p>
            <w:pPr>
              <w:spacing w:line="320" w:lineRule="exact"/>
              <w:ind w:left="0" w:leftChars="0" w:firstLine="0" w:firstLineChars="0"/>
              <w:jc w:val="center"/>
              <w:rPr>
                <w:rFonts w:hint="default" w:ascii="Times New Roman" w:hAnsi="Times New Roman" w:eastAsia="仿宋"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仿宋" w:cs="Times New Roman"/>
                <w:b w:val="0"/>
                <w:bCs/>
                <w:color w:val="000000" w:themeColor="text1"/>
                <w:sz w:val="21"/>
                <w:szCs w:val="21"/>
                <w:lang w:val="en-US" w:eastAsia="zh-CN"/>
                <w14:textFill>
                  <w14:solidFill>
                    <w14:schemeClr w14:val="tx1"/>
                  </w14:solidFill>
                </w14:textFill>
              </w:rPr>
              <w:t>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308" w:type="dxa"/>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仿宋"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仿宋" w:cs="Times New Roman"/>
                <w:b w:val="0"/>
                <w:bCs/>
                <w:color w:val="000000" w:themeColor="text1"/>
                <w:sz w:val="21"/>
                <w:szCs w:val="21"/>
                <w:lang w:val="en-US" w:eastAsia="zh-CN"/>
                <w14:textFill>
                  <w14:solidFill>
                    <w14:schemeClr w14:val="tx1"/>
                  </w14:solidFill>
                </w14:textFill>
              </w:rPr>
              <w:t>达标率</w:t>
            </w:r>
          </w:p>
        </w:tc>
        <w:tc>
          <w:tcPr>
            <w:tcW w:w="1534" w:type="dxa"/>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仿宋"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仿宋" w:cs="Times New Roman"/>
                <w:b w:val="0"/>
                <w:bCs/>
                <w:color w:val="000000" w:themeColor="text1"/>
                <w:sz w:val="21"/>
                <w:szCs w:val="21"/>
                <w:lang w:val="en-US" w:eastAsia="zh-CN"/>
                <w14:textFill>
                  <w14:solidFill>
                    <w14:schemeClr w14:val="tx1"/>
                  </w14:solidFill>
                </w14:textFill>
              </w:rPr>
              <w:t>92.6%</w:t>
            </w:r>
          </w:p>
        </w:tc>
        <w:tc>
          <w:tcPr>
            <w:tcW w:w="1534" w:type="dxa"/>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仿宋"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仿宋" w:cs="Times New Roman"/>
                <w:b w:val="0"/>
                <w:bCs/>
                <w:color w:val="000000" w:themeColor="text1"/>
                <w:sz w:val="21"/>
                <w:szCs w:val="21"/>
                <w:lang w:val="en-US" w:eastAsia="zh-CN"/>
                <w14:textFill>
                  <w14:solidFill>
                    <w14:schemeClr w14:val="tx1"/>
                  </w14:solidFill>
                </w14:textFill>
              </w:rPr>
              <w:t>93.6%</w:t>
            </w:r>
          </w:p>
        </w:tc>
        <w:tc>
          <w:tcPr>
            <w:tcW w:w="1534" w:type="dxa"/>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仿宋"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仿宋" w:cs="Times New Roman"/>
                <w:b w:val="0"/>
                <w:bCs/>
                <w:color w:val="000000" w:themeColor="text1"/>
                <w:sz w:val="21"/>
                <w:szCs w:val="21"/>
                <w:lang w:val="en-US" w:eastAsia="zh-CN"/>
                <w14:textFill>
                  <w14:solidFill>
                    <w14:schemeClr w14:val="tx1"/>
                  </w14:solidFill>
                </w14:textFill>
              </w:rPr>
              <w:t>96.7%</w:t>
            </w:r>
          </w:p>
        </w:tc>
        <w:tc>
          <w:tcPr>
            <w:tcW w:w="1534" w:type="dxa"/>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仿宋"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仿宋" w:cs="Times New Roman"/>
                <w:b w:val="0"/>
                <w:bCs/>
                <w:color w:val="000000" w:themeColor="text1"/>
                <w:sz w:val="21"/>
                <w:szCs w:val="21"/>
                <w:lang w:val="en-US" w:eastAsia="zh-CN"/>
                <w14:textFill>
                  <w14:solidFill>
                    <w14:schemeClr w14:val="tx1"/>
                  </w14:solidFill>
                </w14:textFill>
              </w:rPr>
              <w:t>100%</w:t>
            </w:r>
          </w:p>
        </w:tc>
        <w:tc>
          <w:tcPr>
            <w:tcW w:w="1535" w:type="dxa"/>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仿宋"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仿宋" w:cs="Times New Roman"/>
                <w:b w:val="0"/>
                <w:bCs/>
                <w:color w:val="000000" w:themeColor="text1"/>
                <w:sz w:val="21"/>
                <w:szCs w:val="21"/>
                <w:lang w:val="en-US" w:eastAsia="zh-CN"/>
                <w14:textFill>
                  <w14:solidFill>
                    <w14:schemeClr w14:val="tx1"/>
                  </w14:solidFill>
                </w14:textFill>
              </w:rPr>
              <w:t>99.4%</w:t>
            </w:r>
          </w:p>
        </w:tc>
      </w:tr>
    </w:tbl>
    <w:p>
      <w:pPr>
        <w:numPr>
          <w:ilvl w:val="0"/>
          <w:numId w:val="0"/>
        </w:numPr>
        <w:ind w:firstLine="560" w:firstLineChars="200"/>
        <w:rPr>
          <w:rFonts w:hint="default" w:ascii="Times New Roman" w:hAnsi="Times New Roman" w:eastAsia="黑体" w:cs="Times New Roman"/>
          <w:b w:val="0"/>
          <w:bCs w:val="0"/>
          <w:color w:val="auto"/>
          <w:lang w:val="en-US" w:eastAsia="zh-CN"/>
        </w:rPr>
      </w:pPr>
      <w:r>
        <w:rPr>
          <w:rFonts w:hint="default" w:ascii="Times New Roman" w:hAnsi="Times New Roman" w:eastAsia="黑体" w:cs="Times New Roman"/>
          <w:b w:val="0"/>
          <w:bCs w:val="0"/>
          <w:color w:val="auto"/>
          <w:lang w:val="en-US" w:eastAsia="zh-CN"/>
        </w:rPr>
        <w:t>2、五年达标率变化趋势</w:t>
      </w:r>
    </w:p>
    <w:p>
      <w:pPr>
        <w:ind w:firstLine="560" w:firstLineChars="20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2018—2022年吉林省废气污染源执法监测达标率呈上升后下降趋势，2022年整体达标率为99.4%，过去五年达标率中，2018年达标率相对较低为92.6%，详见图2-8。</w:t>
      </w:r>
    </w:p>
    <w:p>
      <w:pPr>
        <w:bidi w:val="0"/>
        <w:ind w:left="0" w:leftChars="0" w:firstLine="0" w:firstLineChars="0"/>
        <w:jc w:val="center"/>
        <w:rPr>
          <w:rFonts w:hint="default" w:ascii="Times New Roman" w:hAnsi="Times New Roman" w:cs="Times New Roman"/>
          <w:color w:val="FF0000"/>
        </w:rPr>
      </w:pPr>
      <w:r>
        <w:rPr>
          <w:rFonts w:hint="default" w:ascii="Times New Roman" w:hAnsi="Times New Roman" w:cs="Times New Roman"/>
        </w:rPr>
        <w:drawing>
          <wp:inline distT="0" distB="0" distL="114300" distR="114300">
            <wp:extent cx="4572000" cy="2743200"/>
            <wp:effectExtent l="0" t="0" r="0" b="0"/>
            <wp:docPr id="1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bidi w:val="0"/>
        <w:ind w:left="0" w:leftChars="0" w:firstLine="0" w:firstLineChars="0"/>
        <w:jc w:val="center"/>
        <w:rPr>
          <w:rFonts w:hint="default" w:ascii="Times New Roman" w:hAnsi="Times New Roman" w:eastAsia="黑体" w:cs="Times New Roman"/>
          <w:b w:val="0"/>
          <w:bCs w:val="0"/>
          <w:color w:val="000000" w:themeColor="text1"/>
          <w:sz w:val="24"/>
          <w:szCs w:val="24"/>
          <w14:textFill>
            <w14:solidFill>
              <w14:schemeClr w14:val="tx1"/>
            </w14:solidFill>
          </w14:textFill>
        </w:rPr>
      </w:pPr>
      <w:r>
        <w:rPr>
          <w:rFonts w:hint="default" w:ascii="Times New Roman" w:hAnsi="Times New Roman" w:eastAsia="黑体" w:cs="Times New Roman"/>
          <w:b w:val="0"/>
          <w:bCs w:val="0"/>
          <w:color w:val="000000" w:themeColor="text1"/>
          <w:sz w:val="24"/>
          <w:szCs w:val="24"/>
          <w:lang w:val="en-US" w:eastAsia="zh-CN"/>
          <w14:textFill>
            <w14:solidFill>
              <w14:schemeClr w14:val="tx1"/>
            </w14:solidFill>
          </w14:textFill>
        </w:rPr>
        <w:t>图2-8  2018-2022年全省废气企业达标率变化情况</w:t>
      </w:r>
    </w:p>
    <w:p>
      <w:pPr>
        <w:pStyle w:val="3"/>
        <w:bidi w:val="0"/>
        <w:rPr>
          <w:rFonts w:hint="default" w:ascii="Times New Roman" w:hAnsi="Times New Roman" w:eastAsia="黑体" w:cs="Times New Roman"/>
          <w:b w:val="0"/>
          <w:bCs/>
          <w:sz w:val="30"/>
          <w:szCs w:val="30"/>
          <w:lang w:val="en-US" w:eastAsia="zh-CN"/>
        </w:rPr>
      </w:pPr>
      <w:bookmarkStart w:id="39" w:name="_Toc12263"/>
      <w:bookmarkStart w:id="40" w:name="_Toc2145"/>
      <w:r>
        <w:rPr>
          <w:rFonts w:hint="default" w:ascii="Times New Roman" w:hAnsi="Times New Roman" w:eastAsia="黑体" w:cs="Times New Roman"/>
          <w:b w:val="0"/>
          <w:bCs/>
          <w:sz w:val="30"/>
          <w:szCs w:val="30"/>
          <w:lang w:val="en" w:eastAsia="zh-CN"/>
        </w:rPr>
        <w:t>2</w:t>
      </w:r>
      <w:r>
        <w:rPr>
          <w:rFonts w:hint="default" w:ascii="Times New Roman" w:hAnsi="Times New Roman" w:eastAsia="黑体" w:cs="Times New Roman"/>
          <w:b w:val="0"/>
          <w:bCs/>
          <w:sz w:val="30"/>
          <w:szCs w:val="30"/>
          <w:lang w:val="en-US" w:eastAsia="zh-CN"/>
        </w:rPr>
        <w:t>.3污水处理厂执法监测情况</w:t>
      </w:r>
      <w:bookmarkEnd w:id="39"/>
      <w:bookmarkEnd w:id="40"/>
    </w:p>
    <w:p>
      <w:pPr>
        <w:pStyle w:val="3"/>
        <w:bidi w:val="0"/>
        <w:rPr>
          <w:rFonts w:hint="default" w:ascii="Times New Roman" w:hAnsi="Times New Roman" w:eastAsia="黑体" w:cs="Times New Roman"/>
          <w:b w:val="0"/>
          <w:bCs/>
          <w:sz w:val="28"/>
          <w:szCs w:val="28"/>
          <w:lang w:val="en-US" w:eastAsia="zh-CN"/>
        </w:rPr>
      </w:pPr>
      <w:bookmarkStart w:id="41" w:name="_Toc28406"/>
      <w:bookmarkStart w:id="42" w:name="_Toc16845"/>
      <w:r>
        <w:rPr>
          <w:rFonts w:hint="default" w:ascii="Times New Roman" w:hAnsi="Times New Roman" w:eastAsia="黑体" w:cs="Times New Roman"/>
          <w:b w:val="0"/>
          <w:bCs/>
          <w:sz w:val="28"/>
          <w:szCs w:val="28"/>
          <w:lang w:val="en-US" w:eastAsia="zh-CN"/>
        </w:rPr>
        <w:t>2.3.1污水处理厂执法监测情况</w:t>
      </w:r>
      <w:bookmarkEnd w:id="41"/>
      <w:bookmarkEnd w:id="42"/>
    </w:p>
    <w:p>
      <w:pPr>
        <w:ind w:firstLine="560" w:firstLineChars="20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2022年，全省执法监测的污水处理厂共97家，未出现排放超标情况，排放达标率为100%。按照排放标准监测的27项指标放达标率均为100%，详见表2-12。</w:t>
      </w:r>
    </w:p>
    <w:p>
      <w:pPr>
        <w:bidi w:val="0"/>
        <w:ind w:left="0" w:leftChars="0" w:firstLine="0" w:firstLineChars="0"/>
        <w:jc w:val="center"/>
        <w:rPr>
          <w:rFonts w:hint="default" w:ascii="Times New Roman" w:hAnsi="Times New Roman" w:eastAsia="黑体"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4"/>
          <w:szCs w:val="24"/>
          <w:lang w:val="en-US" w:eastAsia="zh-CN"/>
          <w14:textFill>
            <w14:solidFill>
              <w14:schemeClr w14:val="tx1"/>
            </w14:solidFill>
          </w14:textFill>
        </w:rPr>
        <w:t>表2-12  2022年全省污水处理厂各监测项目排放达标情况</w:t>
      </w:r>
    </w:p>
    <w:tbl>
      <w:tblPr>
        <w:tblStyle w:val="11"/>
        <w:tblW w:w="9004"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729"/>
        <w:gridCol w:w="3273"/>
        <w:gridCol w:w="3002"/>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blHeader/>
        </w:trPr>
        <w:tc>
          <w:tcPr>
            <w:tcW w:w="2729" w:type="dxa"/>
            <w:tcBorders>
              <w:bottom w:val="single" w:color="auto" w:sz="12" w:space="0"/>
            </w:tcBorders>
            <w:vAlign w:val="center"/>
          </w:tcPr>
          <w:p>
            <w:pPr>
              <w:ind w:left="0" w:leftChars="0" w:firstLine="0" w:firstLineChars="0"/>
              <w:jc w:val="center"/>
              <w:rPr>
                <w:rFonts w:hint="default" w:ascii="Times New Roman" w:hAnsi="Times New Roman" w:eastAsia="黑体" w:cs="Times New Roman"/>
                <w:b w:val="0"/>
                <w:bCs w:val="0"/>
                <w:color w:val="000000" w:themeColor="text1"/>
                <w:sz w:val="24"/>
                <w:szCs w:val="24"/>
                <w:vertAlign w:val="baseline"/>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4"/>
                <w:szCs w:val="24"/>
                <w:vertAlign w:val="baseline"/>
                <w:lang w:val="en-US" w:eastAsia="zh-CN"/>
                <w14:textFill>
                  <w14:solidFill>
                    <w14:schemeClr w14:val="tx1"/>
                  </w14:solidFill>
                </w14:textFill>
              </w:rPr>
              <w:t>监测项目</w:t>
            </w:r>
          </w:p>
        </w:tc>
        <w:tc>
          <w:tcPr>
            <w:tcW w:w="3273" w:type="dxa"/>
            <w:tcBorders>
              <w:bottom w:val="single" w:color="auto" w:sz="12" w:space="0"/>
            </w:tcBorders>
            <w:vAlign w:val="center"/>
          </w:tcPr>
          <w:p>
            <w:pPr>
              <w:ind w:left="0" w:leftChars="0" w:firstLine="0" w:firstLineChars="0"/>
              <w:jc w:val="center"/>
              <w:rPr>
                <w:rFonts w:hint="default" w:ascii="Times New Roman" w:hAnsi="Times New Roman" w:eastAsia="黑体" w:cs="Times New Roman"/>
                <w:b w:val="0"/>
                <w:bCs w:val="0"/>
                <w:color w:val="000000" w:themeColor="text1"/>
                <w:sz w:val="24"/>
                <w:szCs w:val="24"/>
                <w:vertAlign w:val="baseline"/>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4"/>
                <w:szCs w:val="24"/>
                <w:vertAlign w:val="baseline"/>
                <w:lang w:val="en-US" w:eastAsia="zh-CN"/>
                <w14:textFill>
                  <w14:solidFill>
                    <w14:schemeClr w14:val="tx1"/>
                  </w14:solidFill>
                </w14:textFill>
              </w:rPr>
              <w:t>参评的污水处理厂数量（个）</w:t>
            </w:r>
          </w:p>
        </w:tc>
        <w:tc>
          <w:tcPr>
            <w:tcW w:w="3002" w:type="dxa"/>
            <w:tcBorders>
              <w:bottom w:val="single" w:color="auto" w:sz="12" w:space="0"/>
            </w:tcBorders>
            <w:vAlign w:val="center"/>
          </w:tcPr>
          <w:p>
            <w:pPr>
              <w:ind w:left="0" w:leftChars="0" w:firstLine="0" w:firstLineChars="0"/>
              <w:jc w:val="center"/>
              <w:rPr>
                <w:rFonts w:hint="default" w:ascii="Times New Roman" w:hAnsi="Times New Roman" w:eastAsia="黑体" w:cs="Times New Roman"/>
                <w:b w:val="0"/>
                <w:bCs w:val="0"/>
                <w:color w:val="000000" w:themeColor="text1"/>
                <w:sz w:val="24"/>
                <w:szCs w:val="24"/>
                <w:vertAlign w:val="baseline"/>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4"/>
                <w:szCs w:val="24"/>
                <w:vertAlign w:val="baseline"/>
                <w:lang w:val="en-US" w:eastAsia="zh-CN"/>
                <w14:textFill>
                  <w14:solidFill>
                    <w14:schemeClr w14:val="tx1"/>
                  </w14:solidFill>
                </w14:textFill>
              </w:rPr>
              <w:t>达标率（%）</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729" w:type="dxa"/>
            <w:tcBorders>
              <w:top w:val="single" w:color="auto" w:sz="12" w:space="0"/>
              <w:tl2br w:val="nil"/>
              <w:tr2bl w:val="nil"/>
            </w:tcBorders>
            <w:vAlign w:val="center"/>
          </w:tcPr>
          <w:p>
            <w:pPr>
              <w:keepNext w:val="0"/>
              <w:keepLines w:val="0"/>
              <w:widowControl/>
              <w:suppressLineNumbers w:val="0"/>
              <w:ind w:left="0" w:leftChars="0" w:firstLine="0" w:firstLineChars="0"/>
              <w:jc w:val="center"/>
              <w:textAlignment w:val="bottom"/>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i w:val="0"/>
                <w:color w:val="000000" w:themeColor="text1"/>
                <w:kern w:val="0"/>
                <w:sz w:val="21"/>
                <w:szCs w:val="21"/>
                <w:u w:val="none"/>
                <w:lang w:val="en-US" w:eastAsia="zh-CN" w:bidi="ar"/>
                <w14:textFill>
                  <w14:solidFill>
                    <w14:schemeClr w14:val="tx1"/>
                  </w14:solidFill>
                </w14:textFill>
              </w:rPr>
              <w:t>pH值</w:t>
            </w:r>
          </w:p>
        </w:tc>
        <w:tc>
          <w:tcPr>
            <w:tcW w:w="3273" w:type="dxa"/>
            <w:tcBorders>
              <w:top w:val="single" w:color="auto" w:sz="12" w:space="0"/>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79</w:t>
            </w:r>
          </w:p>
        </w:tc>
        <w:tc>
          <w:tcPr>
            <w:tcW w:w="3002" w:type="dxa"/>
            <w:tcBorders>
              <w:top w:val="single" w:color="auto" w:sz="12" w:space="0"/>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729" w:type="dxa"/>
            <w:tcBorders>
              <w:tl2br w:val="nil"/>
              <w:tr2bl w:val="nil"/>
            </w:tcBorders>
            <w:vAlign w:val="center"/>
          </w:tcPr>
          <w:p>
            <w:pPr>
              <w:keepNext w:val="0"/>
              <w:keepLines w:val="0"/>
              <w:widowControl/>
              <w:suppressLineNumbers w:val="0"/>
              <w:ind w:left="0" w:leftChars="0" w:firstLine="0" w:firstLineChars="0"/>
              <w:jc w:val="center"/>
              <w:textAlignment w:val="bottom"/>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i w:val="0"/>
                <w:color w:val="000000" w:themeColor="text1"/>
                <w:kern w:val="0"/>
                <w:sz w:val="21"/>
                <w:szCs w:val="21"/>
                <w:u w:val="none"/>
                <w:lang w:val="en-US" w:eastAsia="zh-CN" w:bidi="ar"/>
                <w14:textFill>
                  <w14:solidFill>
                    <w14:schemeClr w14:val="tx1"/>
                  </w14:solidFill>
                </w14:textFill>
              </w:rPr>
              <w:t>氨氮</w:t>
            </w:r>
          </w:p>
        </w:tc>
        <w:tc>
          <w:tcPr>
            <w:tcW w:w="3273"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95</w:t>
            </w:r>
          </w:p>
        </w:tc>
        <w:tc>
          <w:tcPr>
            <w:tcW w:w="3002"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729" w:type="dxa"/>
            <w:tcBorders>
              <w:tl2br w:val="nil"/>
              <w:tr2bl w:val="nil"/>
            </w:tcBorders>
            <w:vAlign w:val="center"/>
          </w:tcPr>
          <w:p>
            <w:pPr>
              <w:keepNext w:val="0"/>
              <w:keepLines w:val="0"/>
              <w:widowControl/>
              <w:suppressLineNumbers w:val="0"/>
              <w:ind w:left="0" w:leftChars="0" w:firstLine="0" w:firstLineChars="0"/>
              <w:jc w:val="center"/>
              <w:textAlignment w:val="bottom"/>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i w:val="0"/>
                <w:color w:val="000000" w:themeColor="text1"/>
                <w:kern w:val="0"/>
                <w:sz w:val="21"/>
                <w:szCs w:val="21"/>
                <w:u w:val="none"/>
                <w:lang w:val="en-US" w:eastAsia="zh-CN" w:bidi="ar"/>
                <w14:textFill>
                  <w14:solidFill>
                    <w14:schemeClr w14:val="tx1"/>
                  </w14:solidFill>
                </w14:textFill>
              </w:rPr>
              <w:t>动植物油</w:t>
            </w:r>
          </w:p>
        </w:tc>
        <w:tc>
          <w:tcPr>
            <w:tcW w:w="3273"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29</w:t>
            </w:r>
          </w:p>
        </w:tc>
        <w:tc>
          <w:tcPr>
            <w:tcW w:w="3002"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729" w:type="dxa"/>
            <w:tcBorders>
              <w:tl2br w:val="nil"/>
              <w:tr2bl w:val="nil"/>
            </w:tcBorders>
            <w:vAlign w:val="center"/>
          </w:tcPr>
          <w:p>
            <w:pPr>
              <w:keepNext w:val="0"/>
              <w:keepLines w:val="0"/>
              <w:widowControl/>
              <w:suppressLineNumbers w:val="0"/>
              <w:ind w:left="0" w:leftChars="0" w:firstLine="0" w:firstLineChars="0"/>
              <w:jc w:val="center"/>
              <w:textAlignment w:val="bottom"/>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i w:val="0"/>
                <w:color w:val="000000" w:themeColor="text1"/>
                <w:kern w:val="0"/>
                <w:sz w:val="21"/>
                <w:szCs w:val="21"/>
                <w:u w:val="none"/>
                <w:lang w:val="en-US" w:eastAsia="zh-CN" w:bidi="ar"/>
                <w14:textFill>
                  <w14:solidFill>
                    <w14:schemeClr w14:val="tx1"/>
                  </w14:solidFill>
                </w14:textFill>
              </w:rPr>
              <w:t>粪大肠菌群</w:t>
            </w:r>
          </w:p>
        </w:tc>
        <w:tc>
          <w:tcPr>
            <w:tcW w:w="3273"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39</w:t>
            </w:r>
          </w:p>
        </w:tc>
        <w:tc>
          <w:tcPr>
            <w:tcW w:w="3002"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729" w:type="dxa"/>
            <w:tcBorders>
              <w:tl2br w:val="nil"/>
              <w:tr2bl w:val="nil"/>
            </w:tcBorders>
            <w:vAlign w:val="center"/>
          </w:tcPr>
          <w:p>
            <w:pPr>
              <w:keepNext w:val="0"/>
              <w:keepLines w:val="0"/>
              <w:widowControl/>
              <w:suppressLineNumbers w:val="0"/>
              <w:ind w:left="0" w:leftChars="0" w:firstLine="0" w:firstLineChars="0"/>
              <w:jc w:val="center"/>
              <w:textAlignment w:val="bottom"/>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i w:val="0"/>
                <w:color w:val="000000" w:themeColor="text1"/>
                <w:kern w:val="0"/>
                <w:sz w:val="21"/>
                <w:szCs w:val="21"/>
                <w:u w:val="none"/>
                <w:lang w:val="en-US" w:eastAsia="zh-CN" w:bidi="ar"/>
                <w14:textFill>
                  <w14:solidFill>
                    <w14:schemeClr w14:val="tx1"/>
                  </w14:solidFill>
                </w14:textFill>
              </w:rPr>
              <w:t>氟化物</w:t>
            </w:r>
          </w:p>
        </w:tc>
        <w:tc>
          <w:tcPr>
            <w:tcW w:w="3273"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w:t>
            </w:r>
          </w:p>
        </w:tc>
        <w:tc>
          <w:tcPr>
            <w:tcW w:w="3002"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729" w:type="dxa"/>
            <w:tcBorders>
              <w:tl2br w:val="nil"/>
              <w:tr2bl w:val="nil"/>
            </w:tcBorders>
            <w:vAlign w:val="center"/>
          </w:tcPr>
          <w:p>
            <w:pPr>
              <w:keepNext w:val="0"/>
              <w:keepLines w:val="0"/>
              <w:widowControl/>
              <w:suppressLineNumbers w:val="0"/>
              <w:ind w:left="0" w:leftChars="0" w:firstLine="0" w:firstLineChars="0"/>
              <w:jc w:val="center"/>
              <w:textAlignment w:val="bottom"/>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i w:val="0"/>
                <w:color w:val="000000" w:themeColor="text1"/>
                <w:kern w:val="0"/>
                <w:sz w:val="21"/>
                <w:szCs w:val="21"/>
                <w:u w:val="none"/>
                <w:lang w:val="en-US" w:eastAsia="zh-CN" w:bidi="ar"/>
                <w14:textFill>
                  <w14:solidFill>
                    <w14:schemeClr w14:val="tx1"/>
                  </w14:solidFill>
                </w14:textFill>
              </w:rPr>
              <w:t>化学需氧量</w:t>
            </w:r>
          </w:p>
        </w:tc>
        <w:tc>
          <w:tcPr>
            <w:tcW w:w="3273"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95</w:t>
            </w:r>
          </w:p>
        </w:tc>
        <w:tc>
          <w:tcPr>
            <w:tcW w:w="3002"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729" w:type="dxa"/>
            <w:tcBorders>
              <w:tl2br w:val="nil"/>
              <w:tr2bl w:val="nil"/>
            </w:tcBorders>
            <w:vAlign w:val="center"/>
          </w:tcPr>
          <w:p>
            <w:pPr>
              <w:keepNext w:val="0"/>
              <w:keepLines w:val="0"/>
              <w:widowControl/>
              <w:suppressLineNumbers w:val="0"/>
              <w:ind w:left="0" w:leftChars="0" w:firstLine="0" w:firstLineChars="0"/>
              <w:jc w:val="center"/>
              <w:textAlignment w:val="bottom"/>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i w:val="0"/>
                <w:color w:val="000000" w:themeColor="text1"/>
                <w:kern w:val="0"/>
                <w:sz w:val="21"/>
                <w:szCs w:val="21"/>
                <w:u w:val="none"/>
                <w:lang w:val="en-US" w:eastAsia="zh-CN" w:bidi="ar"/>
                <w14:textFill>
                  <w14:solidFill>
                    <w14:schemeClr w14:val="tx1"/>
                  </w14:solidFill>
                </w14:textFill>
              </w:rPr>
              <w:t>挥发酚</w:t>
            </w:r>
          </w:p>
        </w:tc>
        <w:tc>
          <w:tcPr>
            <w:tcW w:w="3273"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2</w:t>
            </w:r>
          </w:p>
        </w:tc>
        <w:tc>
          <w:tcPr>
            <w:tcW w:w="3002"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729" w:type="dxa"/>
            <w:tcBorders>
              <w:tl2br w:val="nil"/>
              <w:tr2bl w:val="nil"/>
            </w:tcBorders>
            <w:vAlign w:val="center"/>
          </w:tcPr>
          <w:p>
            <w:pPr>
              <w:keepNext w:val="0"/>
              <w:keepLines w:val="0"/>
              <w:widowControl/>
              <w:suppressLineNumbers w:val="0"/>
              <w:ind w:left="0" w:leftChars="0" w:firstLine="0" w:firstLineChars="0"/>
              <w:jc w:val="center"/>
              <w:textAlignment w:val="bottom"/>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i w:val="0"/>
                <w:color w:val="000000" w:themeColor="text1"/>
                <w:kern w:val="0"/>
                <w:sz w:val="21"/>
                <w:szCs w:val="21"/>
                <w:u w:val="none"/>
                <w:lang w:val="en-US" w:eastAsia="zh-CN" w:bidi="ar"/>
                <w14:textFill>
                  <w14:solidFill>
                    <w14:schemeClr w14:val="tx1"/>
                  </w14:solidFill>
                </w14:textFill>
              </w:rPr>
              <w:t>硫化物</w:t>
            </w:r>
          </w:p>
        </w:tc>
        <w:tc>
          <w:tcPr>
            <w:tcW w:w="3273"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w:t>
            </w:r>
          </w:p>
        </w:tc>
        <w:tc>
          <w:tcPr>
            <w:tcW w:w="3002"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729" w:type="dxa"/>
            <w:tcBorders>
              <w:tl2br w:val="nil"/>
              <w:tr2bl w:val="nil"/>
            </w:tcBorders>
            <w:vAlign w:val="center"/>
          </w:tcPr>
          <w:p>
            <w:pPr>
              <w:keepNext w:val="0"/>
              <w:keepLines w:val="0"/>
              <w:widowControl/>
              <w:suppressLineNumbers w:val="0"/>
              <w:ind w:left="0" w:leftChars="0" w:firstLine="0" w:firstLineChars="0"/>
              <w:jc w:val="center"/>
              <w:textAlignment w:val="bottom"/>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i w:val="0"/>
                <w:color w:val="000000" w:themeColor="text1"/>
                <w:kern w:val="0"/>
                <w:sz w:val="21"/>
                <w:szCs w:val="21"/>
                <w:u w:val="none"/>
                <w:lang w:val="en-US" w:eastAsia="zh-CN" w:bidi="ar"/>
                <w14:textFill>
                  <w14:solidFill>
                    <w14:schemeClr w14:val="tx1"/>
                  </w14:solidFill>
                </w14:textFill>
              </w:rPr>
              <w:t>六价铬</w:t>
            </w:r>
          </w:p>
        </w:tc>
        <w:tc>
          <w:tcPr>
            <w:tcW w:w="3273"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29</w:t>
            </w:r>
          </w:p>
        </w:tc>
        <w:tc>
          <w:tcPr>
            <w:tcW w:w="3002"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729" w:type="dxa"/>
            <w:tcBorders>
              <w:tl2br w:val="nil"/>
              <w:tr2bl w:val="nil"/>
            </w:tcBorders>
            <w:vAlign w:val="center"/>
          </w:tcPr>
          <w:p>
            <w:pPr>
              <w:keepNext w:val="0"/>
              <w:keepLines w:val="0"/>
              <w:widowControl/>
              <w:suppressLineNumbers w:val="0"/>
              <w:ind w:left="0" w:leftChars="0" w:firstLine="0" w:firstLineChars="0"/>
              <w:jc w:val="center"/>
              <w:textAlignment w:val="bottom"/>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i w:val="0"/>
                <w:color w:val="000000" w:themeColor="text1"/>
                <w:kern w:val="0"/>
                <w:sz w:val="21"/>
                <w:szCs w:val="21"/>
                <w:u w:val="none"/>
                <w:lang w:val="en-US" w:eastAsia="zh-CN" w:bidi="ar"/>
                <w14:textFill>
                  <w14:solidFill>
                    <w14:schemeClr w14:val="tx1"/>
                  </w14:solidFill>
                </w14:textFill>
              </w:rPr>
              <w:t>色度</w:t>
            </w:r>
          </w:p>
        </w:tc>
        <w:tc>
          <w:tcPr>
            <w:tcW w:w="3273"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31</w:t>
            </w:r>
          </w:p>
        </w:tc>
        <w:tc>
          <w:tcPr>
            <w:tcW w:w="3002"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729" w:type="dxa"/>
            <w:tcBorders>
              <w:tl2br w:val="nil"/>
              <w:tr2bl w:val="nil"/>
            </w:tcBorders>
            <w:vAlign w:val="center"/>
          </w:tcPr>
          <w:p>
            <w:pPr>
              <w:keepNext w:val="0"/>
              <w:keepLines w:val="0"/>
              <w:widowControl/>
              <w:suppressLineNumbers w:val="0"/>
              <w:ind w:left="0" w:leftChars="0" w:firstLine="0" w:firstLineChars="0"/>
              <w:jc w:val="center"/>
              <w:textAlignment w:val="bottom"/>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i w:val="0"/>
                <w:color w:val="000000" w:themeColor="text1"/>
                <w:kern w:val="0"/>
                <w:sz w:val="21"/>
                <w:szCs w:val="21"/>
                <w:u w:val="none"/>
                <w:lang w:val="en-US" w:eastAsia="zh-CN" w:bidi="ar"/>
                <w14:textFill>
                  <w14:solidFill>
                    <w14:schemeClr w14:val="tx1"/>
                  </w14:solidFill>
                </w14:textFill>
              </w:rPr>
              <w:t>生化需氧量</w:t>
            </w:r>
          </w:p>
        </w:tc>
        <w:tc>
          <w:tcPr>
            <w:tcW w:w="3273"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46</w:t>
            </w:r>
          </w:p>
        </w:tc>
        <w:tc>
          <w:tcPr>
            <w:tcW w:w="3002"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729" w:type="dxa"/>
            <w:tcBorders>
              <w:tl2br w:val="nil"/>
              <w:tr2bl w:val="nil"/>
            </w:tcBorders>
            <w:vAlign w:val="center"/>
          </w:tcPr>
          <w:p>
            <w:pPr>
              <w:keepNext w:val="0"/>
              <w:keepLines w:val="0"/>
              <w:widowControl/>
              <w:suppressLineNumbers w:val="0"/>
              <w:ind w:left="0" w:leftChars="0" w:firstLine="0" w:firstLineChars="0"/>
              <w:jc w:val="center"/>
              <w:textAlignment w:val="bottom"/>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i w:val="0"/>
                <w:color w:val="000000" w:themeColor="text1"/>
                <w:kern w:val="0"/>
                <w:sz w:val="21"/>
                <w:szCs w:val="21"/>
                <w:u w:val="none"/>
                <w:lang w:val="en-US" w:eastAsia="zh-CN" w:bidi="ar"/>
                <w14:textFill>
                  <w14:solidFill>
                    <w14:schemeClr w14:val="tx1"/>
                  </w14:solidFill>
                </w14:textFill>
              </w:rPr>
              <w:t>石油类</w:t>
            </w:r>
          </w:p>
        </w:tc>
        <w:tc>
          <w:tcPr>
            <w:tcW w:w="3273"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30</w:t>
            </w:r>
          </w:p>
        </w:tc>
        <w:tc>
          <w:tcPr>
            <w:tcW w:w="3002"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729" w:type="dxa"/>
            <w:tcBorders>
              <w:tl2br w:val="nil"/>
              <w:tr2bl w:val="nil"/>
            </w:tcBorders>
            <w:vAlign w:val="center"/>
          </w:tcPr>
          <w:p>
            <w:pPr>
              <w:keepNext w:val="0"/>
              <w:keepLines w:val="0"/>
              <w:widowControl/>
              <w:suppressLineNumbers w:val="0"/>
              <w:ind w:left="0" w:leftChars="0" w:firstLine="0" w:firstLineChars="0"/>
              <w:jc w:val="center"/>
              <w:textAlignment w:val="bottom"/>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i w:val="0"/>
                <w:color w:val="000000" w:themeColor="text1"/>
                <w:kern w:val="0"/>
                <w:sz w:val="21"/>
                <w:szCs w:val="21"/>
                <w:u w:val="none"/>
                <w:lang w:val="en-US" w:eastAsia="zh-CN" w:bidi="ar"/>
                <w14:textFill>
                  <w14:solidFill>
                    <w14:schemeClr w14:val="tx1"/>
                  </w14:solidFill>
                </w14:textFill>
              </w:rPr>
              <w:t>水温</w:t>
            </w:r>
          </w:p>
        </w:tc>
        <w:tc>
          <w:tcPr>
            <w:tcW w:w="3273"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6</w:t>
            </w:r>
          </w:p>
        </w:tc>
        <w:tc>
          <w:tcPr>
            <w:tcW w:w="3002"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729" w:type="dxa"/>
            <w:tcBorders>
              <w:tl2br w:val="nil"/>
              <w:tr2bl w:val="nil"/>
            </w:tcBorders>
            <w:vAlign w:val="center"/>
          </w:tcPr>
          <w:p>
            <w:pPr>
              <w:keepNext w:val="0"/>
              <w:keepLines w:val="0"/>
              <w:widowControl/>
              <w:suppressLineNumbers w:val="0"/>
              <w:ind w:left="0" w:leftChars="0" w:firstLine="0" w:firstLineChars="0"/>
              <w:jc w:val="center"/>
              <w:textAlignment w:val="bottom"/>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i w:val="0"/>
                <w:color w:val="000000" w:themeColor="text1"/>
                <w:kern w:val="0"/>
                <w:sz w:val="21"/>
                <w:szCs w:val="21"/>
                <w:u w:val="none"/>
                <w:lang w:val="en-US" w:eastAsia="zh-CN" w:bidi="ar"/>
                <w14:textFill>
                  <w14:solidFill>
                    <w14:schemeClr w14:val="tx1"/>
                  </w14:solidFill>
                </w14:textFill>
              </w:rPr>
              <w:t>烷基汞</w:t>
            </w:r>
          </w:p>
        </w:tc>
        <w:tc>
          <w:tcPr>
            <w:tcW w:w="3273"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13</w:t>
            </w:r>
          </w:p>
        </w:tc>
        <w:tc>
          <w:tcPr>
            <w:tcW w:w="3002"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729" w:type="dxa"/>
            <w:tcBorders>
              <w:tl2br w:val="nil"/>
              <w:tr2bl w:val="nil"/>
            </w:tcBorders>
            <w:vAlign w:val="center"/>
          </w:tcPr>
          <w:p>
            <w:pPr>
              <w:keepNext w:val="0"/>
              <w:keepLines w:val="0"/>
              <w:widowControl/>
              <w:suppressLineNumbers w:val="0"/>
              <w:ind w:left="0" w:leftChars="0" w:firstLine="0" w:firstLineChars="0"/>
              <w:jc w:val="center"/>
              <w:textAlignment w:val="bottom"/>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i w:val="0"/>
                <w:color w:val="000000" w:themeColor="text1"/>
                <w:kern w:val="0"/>
                <w:sz w:val="21"/>
                <w:szCs w:val="21"/>
                <w:u w:val="none"/>
                <w:lang w:val="en-US" w:eastAsia="zh-CN" w:bidi="ar"/>
                <w14:textFill>
                  <w14:solidFill>
                    <w14:schemeClr w14:val="tx1"/>
                  </w14:solidFill>
                </w14:textFill>
              </w:rPr>
              <w:t>悬浮物</w:t>
            </w:r>
          </w:p>
        </w:tc>
        <w:tc>
          <w:tcPr>
            <w:tcW w:w="3273"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59</w:t>
            </w:r>
          </w:p>
        </w:tc>
        <w:tc>
          <w:tcPr>
            <w:tcW w:w="3002"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729" w:type="dxa"/>
            <w:tcBorders>
              <w:tl2br w:val="nil"/>
              <w:tr2bl w:val="nil"/>
            </w:tcBorders>
            <w:vAlign w:val="center"/>
          </w:tcPr>
          <w:p>
            <w:pPr>
              <w:keepNext w:val="0"/>
              <w:keepLines w:val="0"/>
              <w:widowControl/>
              <w:suppressLineNumbers w:val="0"/>
              <w:ind w:left="0" w:leftChars="0" w:firstLine="0" w:firstLineChars="0"/>
              <w:jc w:val="center"/>
              <w:textAlignment w:val="bottom"/>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i w:val="0"/>
                <w:color w:val="000000" w:themeColor="text1"/>
                <w:kern w:val="0"/>
                <w:sz w:val="21"/>
                <w:szCs w:val="21"/>
                <w:u w:val="none"/>
                <w:lang w:val="en-US" w:eastAsia="zh-CN" w:bidi="ar"/>
                <w14:textFill>
                  <w14:solidFill>
                    <w14:schemeClr w14:val="tx1"/>
                  </w14:solidFill>
                </w14:textFill>
              </w:rPr>
              <w:t>阴离子表面活性剂</w:t>
            </w:r>
          </w:p>
        </w:tc>
        <w:tc>
          <w:tcPr>
            <w:tcW w:w="3273"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27</w:t>
            </w:r>
          </w:p>
        </w:tc>
        <w:tc>
          <w:tcPr>
            <w:tcW w:w="3002"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729" w:type="dxa"/>
            <w:tcBorders>
              <w:tl2br w:val="nil"/>
              <w:tr2bl w:val="nil"/>
            </w:tcBorders>
            <w:vAlign w:val="center"/>
          </w:tcPr>
          <w:p>
            <w:pPr>
              <w:keepNext w:val="0"/>
              <w:keepLines w:val="0"/>
              <w:widowControl/>
              <w:suppressLineNumbers w:val="0"/>
              <w:ind w:left="0" w:leftChars="0" w:firstLine="0" w:firstLineChars="0"/>
              <w:jc w:val="center"/>
              <w:textAlignment w:val="bottom"/>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i w:val="0"/>
                <w:color w:val="000000" w:themeColor="text1"/>
                <w:kern w:val="0"/>
                <w:sz w:val="21"/>
                <w:szCs w:val="21"/>
                <w:u w:val="none"/>
                <w:lang w:val="en-US" w:eastAsia="zh-CN" w:bidi="ar"/>
                <w14:textFill>
                  <w14:solidFill>
                    <w14:schemeClr w14:val="tx1"/>
                  </w14:solidFill>
                </w14:textFill>
              </w:rPr>
              <w:t>总氮（以N计）</w:t>
            </w:r>
          </w:p>
        </w:tc>
        <w:tc>
          <w:tcPr>
            <w:tcW w:w="3273"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73</w:t>
            </w:r>
          </w:p>
        </w:tc>
        <w:tc>
          <w:tcPr>
            <w:tcW w:w="3002"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729" w:type="dxa"/>
            <w:tcBorders>
              <w:tl2br w:val="nil"/>
              <w:tr2bl w:val="nil"/>
            </w:tcBorders>
            <w:vAlign w:val="center"/>
          </w:tcPr>
          <w:p>
            <w:pPr>
              <w:keepNext w:val="0"/>
              <w:keepLines w:val="0"/>
              <w:widowControl/>
              <w:suppressLineNumbers w:val="0"/>
              <w:ind w:left="0" w:leftChars="0" w:firstLine="0" w:firstLineChars="0"/>
              <w:jc w:val="center"/>
              <w:textAlignment w:val="bottom"/>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总镉</w:t>
            </w:r>
          </w:p>
        </w:tc>
        <w:tc>
          <w:tcPr>
            <w:tcW w:w="3273"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27</w:t>
            </w:r>
          </w:p>
        </w:tc>
        <w:tc>
          <w:tcPr>
            <w:tcW w:w="3002"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729" w:type="dxa"/>
            <w:tcBorders>
              <w:tl2br w:val="nil"/>
              <w:tr2bl w:val="nil"/>
            </w:tcBorders>
            <w:vAlign w:val="center"/>
          </w:tcPr>
          <w:p>
            <w:pPr>
              <w:keepNext w:val="0"/>
              <w:keepLines w:val="0"/>
              <w:widowControl/>
              <w:suppressLineNumbers w:val="0"/>
              <w:ind w:left="0" w:leftChars="0" w:firstLine="0" w:firstLineChars="0"/>
              <w:jc w:val="center"/>
              <w:textAlignment w:val="bottom"/>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总铬</w:t>
            </w:r>
          </w:p>
        </w:tc>
        <w:tc>
          <w:tcPr>
            <w:tcW w:w="3273"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25</w:t>
            </w:r>
          </w:p>
        </w:tc>
        <w:tc>
          <w:tcPr>
            <w:tcW w:w="3002"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729" w:type="dxa"/>
            <w:tcBorders>
              <w:tl2br w:val="nil"/>
              <w:tr2bl w:val="nil"/>
            </w:tcBorders>
            <w:vAlign w:val="center"/>
          </w:tcPr>
          <w:p>
            <w:pPr>
              <w:keepNext w:val="0"/>
              <w:keepLines w:val="0"/>
              <w:widowControl/>
              <w:suppressLineNumbers w:val="0"/>
              <w:ind w:left="0" w:leftChars="0" w:firstLine="0" w:firstLineChars="0"/>
              <w:jc w:val="center"/>
              <w:textAlignment w:val="bottom"/>
              <w:rPr>
                <w:rFonts w:hint="default" w:ascii="Times New Roman" w:hAnsi="Times New Roman" w:eastAsia="仿宋" w:cs="Times New Roman"/>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i w:val="0"/>
                <w:color w:val="000000" w:themeColor="text1"/>
                <w:kern w:val="0"/>
                <w:sz w:val="21"/>
                <w:szCs w:val="21"/>
                <w:u w:val="none"/>
                <w:lang w:val="en-US" w:eastAsia="zh-CN" w:bidi="ar"/>
                <w14:textFill>
                  <w14:solidFill>
                    <w14:schemeClr w14:val="tx1"/>
                  </w14:solidFill>
                </w14:textFill>
              </w:rPr>
              <w:t>总汞</w:t>
            </w:r>
          </w:p>
        </w:tc>
        <w:tc>
          <w:tcPr>
            <w:tcW w:w="3273"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28</w:t>
            </w:r>
          </w:p>
        </w:tc>
        <w:tc>
          <w:tcPr>
            <w:tcW w:w="3002"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729" w:type="dxa"/>
            <w:tcBorders>
              <w:tl2br w:val="nil"/>
              <w:tr2bl w:val="nil"/>
            </w:tcBorders>
            <w:vAlign w:val="center"/>
          </w:tcPr>
          <w:p>
            <w:pPr>
              <w:keepNext w:val="0"/>
              <w:keepLines w:val="0"/>
              <w:widowControl/>
              <w:suppressLineNumbers w:val="0"/>
              <w:ind w:left="0" w:leftChars="0" w:firstLine="0" w:firstLineChars="0"/>
              <w:jc w:val="center"/>
              <w:textAlignment w:val="bottom"/>
              <w:rPr>
                <w:rFonts w:hint="default" w:ascii="Times New Roman" w:hAnsi="Times New Roman" w:eastAsia="仿宋" w:cs="Times New Roman"/>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i w:val="0"/>
                <w:color w:val="000000" w:themeColor="text1"/>
                <w:kern w:val="0"/>
                <w:sz w:val="21"/>
                <w:szCs w:val="21"/>
                <w:u w:val="none"/>
                <w:lang w:val="en-US" w:eastAsia="zh-CN" w:bidi="ar"/>
                <w14:textFill>
                  <w14:solidFill>
                    <w14:schemeClr w14:val="tx1"/>
                  </w14:solidFill>
                </w14:textFill>
              </w:rPr>
              <w:t>总磷（以P计）</w:t>
            </w:r>
          </w:p>
        </w:tc>
        <w:tc>
          <w:tcPr>
            <w:tcW w:w="3273"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87</w:t>
            </w:r>
          </w:p>
        </w:tc>
        <w:tc>
          <w:tcPr>
            <w:tcW w:w="3002"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729" w:type="dxa"/>
            <w:tcBorders>
              <w:tl2br w:val="nil"/>
              <w:tr2bl w:val="nil"/>
            </w:tcBorders>
            <w:vAlign w:val="center"/>
          </w:tcPr>
          <w:p>
            <w:pPr>
              <w:keepNext w:val="0"/>
              <w:keepLines w:val="0"/>
              <w:widowControl/>
              <w:suppressLineNumbers w:val="0"/>
              <w:ind w:left="0" w:leftChars="0" w:firstLine="0" w:firstLineChars="0"/>
              <w:jc w:val="center"/>
              <w:textAlignment w:val="bottom"/>
              <w:rPr>
                <w:rFonts w:hint="default" w:ascii="Times New Roman" w:hAnsi="Times New Roman" w:eastAsia="仿宋" w:cs="Times New Roman"/>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i w:val="0"/>
                <w:color w:val="000000" w:themeColor="text1"/>
                <w:kern w:val="0"/>
                <w:sz w:val="21"/>
                <w:szCs w:val="21"/>
                <w:u w:val="none"/>
                <w:lang w:val="en-US" w:eastAsia="zh-CN" w:bidi="ar"/>
                <w14:textFill>
                  <w14:solidFill>
                    <w14:schemeClr w14:val="tx1"/>
                  </w14:solidFill>
                </w14:textFill>
              </w:rPr>
              <w:t>总铅</w:t>
            </w:r>
          </w:p>
        </w:tc>
        <w:tc>
          <w:tcPr>
            <w:tcW w:w="3273"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26</w:t>
            </w:r>
          </w:p>
        </w:tc>
        <w:tc>
          <w:tcPr>
            <w:tcW w:w="3002"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729" w:type="dxa"/>
            <w:tcBorders>
              <w:tl2br w:val="nil"/>
              <w:tr2bl w:val="nil"/>
            </w:tcBorders>
            <w:vAlign w:val="center"/>
          </w:tcPr>
          <w:p>
            <w:pPr>
              <w:keepNext w:val="0"/>
              <w:keepLines w:val="0"/>
              <w:widowControl/>
              <w:suppressLineNumbers w:val="0"/>
              <w:ind w:left="0" w:leftChars="0" w:firstLine="0" w:firstLineChars="0"/>
              <w:jc w:val="center"/>
              <w:textAlignment w:val="bottom"/>
              <w:rPr>
                <w:rFonts w:hint="default" w:ascii="Times New Roman" w:hAnsi="Times New Roman" w:eastAsia="仿宋" w:cs="Times New Roman"/>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i w:val="0"/>
                <w:color w:val="000000" w:themeColor="text1"/>
                <w:kern w:val="0"/>
                <w:sz w:val="21"/>
                <w:szCs w:val="21"/>
                <w:u w:val="none"/>
                <w:lang w:val="en-US" w:eastAsia="zh-CN" w:bidi="ar"/>
                <w14:textFill>
                  <w14:solidFill>
                    <w14:schemeClr w14:val="tx1"/>
                  </w14:solidFill>
                </w14:textFill>
              </w:rPr>
              <w:t>总氰化物</w:t>
            </w:r>
          </w:p>
        </w:tc>
        <w:tc>
          <w:tcPr>
            <w:tcW w:w="3273"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3</w:t>
            </w:r>
          </w:p>
        </w:tc>
        <w:tc>
          <w:tcPr>
            <w:tcW w:w="3002"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729" w:type="dxa"/>
            <w:tcBorders>
              <w:tl2br w:val="nil"/>
              <w:tr2bl w:val="nil"/>
            </w:tcBorders>
            <w:vAlign w:val="center"/>
          </w:tcPr>
          <w:p>
            <w:pPr>
              <w:keepNext w:val="0"/>
              <w:keepLines w:val="0"/>
              <w:widowControl/>
              <w:suppressLineNumbers w:val="0"/>
              <w:ind w:left="0" w:leftChars="0" w:firstLine="0" w:firstLineChars="0"/>
              <w:jc w:val="center"/>
              <w:textAlignment w:val="bottom"/>
              <w:rPr>
                <w:rFonts w:hint="default" w:ascii="Times New Roman" w:hAnsi="Times New Roman" w:eastAsia="仿宋" w:cs="Times New Roman"/>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i w:val="0"/>
                <w:color w:val="000000" w:themeColor="text1"/>
                <w:kern w:val="0"/>
                <w:sz w:val="21"/>
                <w:szCs w:val="21"/>
                <w:u w:val="none"/>
                <w:lang w:val="en-US" w:eastAsia="zh-CN" w:bidi="ar"/>
                <w14:textFill>
                  <w14:solidFill>
                    <w14:schemeClr w14:val="tx1"/>
                  </w14:solidFill>
                </w14:textFill>
              </w:rPr>
              <w:t>总砷</w:t>
            </w:r>
          </w:p>
        </w:tc>
        <w:tc>
          <w:tcPr>
            <w:tcW w:w="3273"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28</w:t>
            </w:r>
          </w:p>
        </w:tc>
        <w:tc>
          <w:tcPr>
            <w:tcW w:w="3002"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729" w:type="dxa"/>
            <w:tcBorders>
              <w:tl2br w:val="nil"/>
              <w:tr2bl w:val="nil"/>
            </w:tcBorders>
            <w:vAlign w:val="center"/>
          </w:tcPr>
          <w:p>
            <w:pPr>
              <w:keepNext w:val="0"/>
              <w:keepLines w:val="0"/>
              <w:widowControl/>
              <w:suppressLineNumbers w:val="0"/>
              <w:ind w:left="0" w:leftChars="0" w:firstLine="0" w:firstLineChars="0"/>
              <w:jc w:val="center"/>
              <w:textAlignment w:val="bottom"/>
              <w:rPr>
                <w:rFonts w:hint="default" w:ascii="Times New Roman" w:hAnsi="Times New Roman" w:eastAsia="仿宋" w:cs="Times New Roman"/>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i w:val="0"/>
                <w:color w:val="000000" w:themeColor="text1"/>
                <w:kern w:val="0"/>
                <w:sz w:val="21"/>
                <w:szCs w:val="21"/>
                <w:u w:val="none"/>
                <w:lang w:val="en-US" w:eastAsia="zh-CN" w:bidi="ar"/>
                <w14:textFill>
                  <w14:solidFill>
                    <w14:schemeClr w14:val="tx1"/>
                  </w14:solidFill>
                </w14:textFill>
              </w:rPr>
              <w:t>总锌</w:t>
            </w:r>
          </w:p>
        </w:tc>
        <w:tc>
          <w:tcPr>
            <w:tcW w:w="3273"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w:t>
            </w:r>
          </w:p>
        </w:tc>
        <w:tc>
          <w:tcPr>
            <w:tcW w:w="3002"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729" w:type="dxa"/>
            <w:tcBorders>
              <w:tl2br w:val="nil"/>
              <w:tr2bl w:val="nil"/>
            </w:tcBorders>
            <w:vAlign w:val="center"/>
          </w:tcPr>
          <w:p>
            <w:pPr>
              <w:keepNext w:val="0"/>
              <w:keepLines w:val="0"/>
              <w:widowControl/>
              <w:suppressLineNumbers w:val="0"/>
              <w:ind w:left="0" w:leftChars="0" w:firstLine="0" w:firstLineChars="0"/>
              <w:jc w:val="center"/>
              <w:textAlignment w:val="bottom"/>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i w:val="0"/>
                <w:color w:val="000000" w:themeColor="text1"/>
                <w:kern w:val="0"/>
                <w:sz w:val="21"/>
                <w:szCs w:val="21"/>
                <w:u w:val="none"/>
                <w:lang w:val="en-US" w:eastAsia="zh-CN" w:bidi="ar"/>
                <w14:textFill>
                  <w14:solidFill>
                    <w14:schemeClr w14:val="tx1"/>
                  </w14:solidFill>
                </w14:textFill>
              </w:rPr>
              <w:t>总铜</w:t>
            </w:r>
          </w:p>
        </w:tc>
        <w:tc>
          <w:tcPr>
            <w:tcW w:w="3273"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w:t>
            </w:r>
          </w:p>
        </w:tc>
        <w:tc>
          <w:tcPr>
            <w:tcW w:w="3002"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729" w:type="dxa"/>
            <w:tcBorders>
              <w:tl2br w:val="nil"/>
              <w:tr2bl w:val="nil"/>
            </w:tcBorders>
            <w:vAlign w:val="center"/>
          </w:tcPr>
          <w:p>
            <w:pPr>
              <w:keepNext w:val="0"/>
              <w:keepLines w:val="0"/>
              <w:widowControl/>
              <w:suppressLineNumbers w:val="0"/>
              <w:ind w:left="0" w:leftChars="0" w:firstLine="0" w:firstLineChars="0"/>
              <w:jc w:val="center"/>
              <w:textAlignment w:val="bottom"/>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i w:val="0"/>
                <w:color w:val="000000" w:themeColor="text1"/>
                <w:kern w:val="0"/>
                <w:sz w:val="21"/>
                <w:szCs w:val="21"/>
                <w:u w:val="none"/>
                <w:lang w:val="en-US" w:eastAsia="zh-CN" w:bidi="ar"/>
                <w14:textFill>
                  <w14:solidFill>
                    <w14:schemeClr w14:val="tx1"/>
                  </w14:solidFill>
                </w14:textFill>
              </w:rPr>
              <w:t>总有机碳</w:t>
            </w:r>
          </w:p>
        </w:tc>
        <w:tc>
          <w:tcPr>
            <w:tcW w:w="3273"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w:t>
            </w:r>
          </w:p>
        </w:tc>
        <w:tc>
          <w:tcPr>
            <w:tcW w:w="3002" w:type="dxa"/>
            <w:tcBorders>
              <w:tl2br w:val="nil"/>
              <w:tr2bl w:val="nil"/>
            </w:tcBorders>
            <w:vAlign w:val="center"/>
          </w:tcPr>
          <w:p>
            <w:pPr>
              <w:ind w:left="0" w:leftChars="0" w:firstLine="0" w:firstLineChars="0"/>
              <w:jc w:val="cente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100</w:t>
            </w:r>
          </w:p>
        </w:tc>
      </w:tr>
    </w:tbl>
    <w:p>
      <w:pPr>
        <w:pStyle w:val="3"/>
        <w:bidi w:val="0"/>
        <w:rPr>
          <w:rFonts w:hint="default" w:ascii="Times New Roman" w:hAnsi="Times New Roman" w:eastAsia="黑体" w:cs="Times New Roman"/>
          <w:b w:val="0"/>
          <w:bCs/>
          <w:sz w:val="28"/>
          <w:szCs w:val="28"/>
          <w:lang w:val="en-US" w:eastAsia="zh-CN"/>
        </w:rPr>
      </w:pPr>
      <w:bookmarkStart w:id="43" w:name="_Toc11533"/>
      <w:bookmarkStart w:id="44" w:name="_Toc2591"/>
      <w:bookmarkStart w:id="45" w:name="_Toc7632"/>
      <w:r>
        <w:rPr>
          <w:rFonts w:hint="default" w:ascii="Times New Roman" w:hAnsi="Times New Roman" w:eastAsia="黑体" w:cs="Times New Roman"/>
          <w:b w:val="0"/>
          <w:bCs/>
          <w:sz w:val="28"/>
          <w:szCs w:val="28"/>
          <w:lang w:val="en-US" w:eastAsia="zh-CN"/>
        </w:rPr>
        <w:t>2.3.2污水处理厂执法监测五年分析</w:t>
      </w:r>
      <w:bookmarkEnd w:id="43"/>
      <w:bookmarkEnd w:id="44"/>
      <w:bookmarkEnd w:id="45"/>
    </w:p>
    <w:p>
      <w:pPr>
        <w:numPr>
          <w:ilvl w:val="0"/>
          <w:numId w:val="0"/>
        </w:numPr>
        <w:ind w:firstLine="560" w:firstLineChars="200"/>
        <w:rPr>
          <w:rFonts w:hint="default" w:ascii="Times New Roman" w:hAnsi="Times New Roman" w:eastAsia="黑体" w:cs="Times New Roman"/>
          <w:b w:val="0"/>
          <w:bCs w:val="0"/>
          <w:color w:val="auto"/>
          <w:lang w:val="en-US" w:eastAsia="zh-CN"/>
        </w:rPr>
      </w:pPr>
      <w:r>
        <w:rPr>
          <w:rFonts w:hint="default" w:ascii="Times New Roman" w:hAnsi="Times New Roman" w:eastAsia="黑体" w:cs="Times New Roman"/>
          <w:b w:val="0"/>
          <w:bCs w:val="0"/>
          <w:color w:val="auto"/>
          <w:lang w:val="en-US" w:eastAsia="zh-CN"/>
        </w:rPr>
        <w:t>1、执法监测企业总数变化情况</w:t>
      </w:r>
    </w:p>
    <w:p>
      <w:pPr>
        <w:ind w:firstLine="560" w:firstLineChars="200"/>
        <w:rPr>
          <w:rFonts w:hint="default" w:ascii="Times New Roman" w:hAnsi="Times New Roman" w:cs="Times New Roman"/>
          <w:color w:val="FF0000"/>
          <w:lang w:val="en-US" w:eastAsia="zh-CN"/>
        </w:rPr>
      </w:pPr>
      <w:r>
        <w:rPr>
          <w:rFonts w:hint="default" w:ascii="Times New Roman" w:hAnsi="Times New Roman" w:cs="Times New Roman"/>
          <w:color w:val="000000" w:themeColor="text1"/>
          <w:lang w:val="en-US" w:eastAsia="zh-CN"/>
          <w14:textFill>
            <w14:solidFill>
              <w14:schemeClr w14:val="tx1"/>
            </w14:solidFill>
          </w14:textFill>
        </w:rPr>
        <w:t>2018—2022年吉林省污水处理厂执法监测企业数，详见表2-13。</w:t>
      </w:r>
    </w:p>
    <w:p>
      <w:pPr>
        <w:bidi w:val="0"/>
        <w:ind w:left="0" w:leftChars="0" w:firstLine="0" w:firstLineChars="0"/>
        <w:jc w:val="center"/>
        <w:rPr>
          <w:rFonts w:hint="default" w:ascii="Times New Roman" w:hAnsi="Times New Roman" w:eastAsia="黑体" w:cs="Times New Roman"/>
          <w:b w:val="0"/>
          <w:bCs w:val="0"/>
          <w:color w:val="000000" w:themeColor="text1"/>
          <w:sz w:val="24"/>
          <w:szCs w:val="24"/>
          <w:lang w:val="en-US" w:eastAsia="zh-CN"/>
          <w14:textFill>
            <w14:solidFill>
              <w14:schemeClr w14:val="tx1"/>
            </w14:solidFill>
          </w14:textFill>
        </w:rPr>
      </w:pPr>
    </w:p>
    <w:p>
      <w:pPr>
        <w:bidi w:val="0"/>
        <w:ind w:left="0" w:leftChars="0" w:firstLine="0" w:firstLineChars="0"/>
        <w:jc w:val="center"/>
        <w:rPr>
          <w:rFonts w:hint="default" w:ascii="Times New Roman" w:hAnsi="Times New Roman" w:eastAsia="黑体"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4"/>
          <w:szCs w:val="24"/>
          <w:lang w:val="en-US" w:eastAsia="zh-CN"/>
          <w14:textFill>
            <w14:solidFill>
              <w14:schemeClr w14:val="tx1"/>
            </w14:solidFill>
          </w14:textFill>
        </w:rPr>
        <w:t>表2-13  2018-2022年污水处理厂执法监测企业情况</w:t>
      </w:r>
    </w:p>
    <w:tbl>
      <w:tblPr>
        <w:tblStyle w:val="10"/>
        <w:tblW w:w="5038" w:type="pct"/>
        <w:tblInd w:w="0" w:type="dxa"/>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Layout w:type="autofit"/>
        <w:tblCellMar>
          <w:top w:w="0" w:type="dxa"/>
          <w:left w:w="108" w:type="dxa"/>
          <w:bottom w:w="0" w:type="dxa"/>
          <w:right w:w="108" w:type="dxa"/>
        </w:tblCellMar>
      </w:tblPr>
      <w:tblGrid>
        <w:gridCol w:w="1402"/>
        <w:gridCol w:w="1534"/>
        <w:gridCol w:w="1534"/>
        <w:gridCol w:w="1534"/>
        <w:gridCol w:w="1534"/>
        <w:gridCol w:w="1534"/>
      </w:tblGrid>
      <w:tr>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rPr>
          <w:trHeight w:val="681" w:hRule="atLeast"/>
        </w:trPr>
        <w:tc>
          <w:tcPr>
            <w:tcW w:w="772" w:type="pct"/>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黑体"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黑体" w:cs="Times New Roman"/>
                <w:b w:val="0"/>
                <w:bCs/>
                <w:color w:val="000000" w:themeColor="text1"/>
                <w:sz w:val="24"/>
                <w:szCs w:val="24"/>
                <w:lang w:val="en-US" w:eastAsia="zh-CN"/>
                <w14:textFill>
                  <w14:solidFill>
                    <w14:schemeClr w14:val="tx1"/>
                  </w14:solidFill>
                </w14:textFill>
              </w:rPr>
              <w:t>年度</w:t>
            </w:r>
          </w:p>
        </w:tc>
        <w:tc>
          <w:tcPr>
            <w:tcW w:w="845" w:type="pct"/>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黑体"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黑体" w:cs="Times New Roman"/>
                <w:b w:val="0"/>
                <w:bCs/>
                <w:color w:val="000000" w:themeColor="text1"/>
                <w:sz w:val="24"/>
                <w:szCs w:val="24"/>
                <w:lang w:val="en-US" w:eastAsia="zh-CN"/>
                <w14:textFill>
                  <w14:solidFill>
                    <w14:schemeClr w14:val="tx1"/>
                  </w14:solidFill>
                </w14:textFill>
              </w:rPr>
              <w:t>2018年</w:t>
            </w:r>
          </w:p>
        </w:tc>
        <w:tc>
          <w:tcPr>
            <w:tcW w:w="845" w:type="pct"/>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黑体"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黑体" w:cs="Times New Roman"/>
                <w:b w:val="0"/>
                <w:bCs/>
                <w:color w:val="000000" w:themeColor="text1"/>
                <w:sz w:val="24"/>
                <w:szCs w:val="24"/>
                <w:lang w:val="en-US" w:eastAsia="zh-CN"/>
                <w14:textFill>
                  <w14:solidFill>
                    <w14:schemeClr w14:val="tx1"/>
                  </w14:solidFill>
                </w14:textFill>
              </w:rPr>
              <w:t>2019年</w:t>
            </w:r>
          </w:p>
        </w:tc>
        <w:tc>
          <w:tcPr>
            <w:tcW w:w="845" w:type="pct"/>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黑体"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黑体" w:cs="Times New Roman"/>
                <w:b w:val="0"/>
                <w:bCs/>
                <w:color w:val="000000" w:themeColor="text1"/>
                <w:sz w:val="24"/>
                <w:szCs w:val="24"/>
                <w:lang w:val="en-US" w:eastAsia="zh-CN"/>
                <w14:textFill>
                  <w14:solidFill>
                    <w14:schemeClr w14:val="tx1"/>
                  </w14:solidFill>
                </w14:textFill>
              </w:rPr>
              <w:t>2020年</w:t>
            </w:r>
          </w:p>
        </w:tc>
        <w:tc>
          <w:tcPr>
            <w:tcW w:w="845" w:type="pct"/>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黑体"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黑体" w:cs="Times New Roman"/>
                <w:b w:val="0"/>
                <w:bCs/>
                <w:color w:val="000000" w:themeColor="text1"/>
                <w:sz w:val="24"/>
                <w:szCs w:val="24"/>
                <w:lang w:val="en-US" w:eastAsia="zh-CN"/>
                <w14:textFill>
                  <w14:solidFill>
                    <w14:schemeClr w14:val="tx1"/>
                  </w14:solidFill>
                </w14:textFill>
              </w:rPr>
              <w:t>2021年</w:t>
            </w:r>
          </w:p>
        </w:tc>
        <w:tc>
          <w:tcPr>
            <w:tcW w:w="844" w:type="pct"/>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黑体"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黑体" w:cs="Times New Roman"/>
                <w:b w:val="0"/>
                <w:bCs/>
                <w:color w:val="000000" w:themeColor="text1"/>
                <w:sz w:val="24"/>
                <w:szCs w:val="24"/>
                <w:lang w:val="en-US" w:eastAsia="zh-CN"/>
                <w14:textFill>
                  <w14:solidFill>
                    <w14:schemeClr w14:val="tx1"/>
                  </w14:solidFill>
                </w14:textFill>
              </w:rPr>
              <w:t>2022年</w:t>
            </w:r>
          </w:p>
        </w:tc>
      </w:tr>
      <w:tr>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rPr>
          <w:trHeight w:val="329" w:hRule="atLeast"/>
        </w:trPr>
        <w:tc>
          <w:tcPr>
            <w:tcW w:w="772" w:type="pct"/>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仿宋" w:cs="Times New Roman"/>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监测企业（家）次</w:t>
            </w:r>
          </w:p>
        </w:tc>
        <w:tc>
          <w:tcPr>
            <w:tcW w:w="845" w:type="pct"/>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仿宋" w:cs="Times New Roman"/>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color w:val="000000" w:themeColor="text1"/>
                <w:sz w:val="24"/>
                <w:szCs w:val="24"/>
                <w:lang w:val="en-US" w:eastAsia="zh-CN"/>
                <w14:textFill>
                  <w14:solidFill>
                    <w14:schemeClr w14:val="tx1"/>
                  </w14:solidFill>
                </w14:textFill>
              </w:rPr>
              <w:t>219</w:t>
            </w:r>
          </w:p>
        </w:tc>
        <w:tc>
          <w:tcPr>
            <w:tcW w:w="845" w:type="pct"/>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仿宋" w:cs="Times New Roman"/>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color w:val="000000" w:themeColor="text1"/>
                <w:sz w:val="24"/>
                <w:szCs w:val="24"/>
                <w:lang w:val="en-US" w:eastAsia="zh-CN"/>
                <w14:textFill>
                  <w14:solidFill>
                    <w14:schemeClr w14:val="tx1"/>
                  </w14:solidFill>
                </w14:textFill>
              </w:rPr>
              <w:t>71</w:t>
            </w:r>
          </w:p>
        </w:tc>
        <w:tc>
          <w:tcPr>
            <w:tcW w:w="845" w:type="pct"/>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仿宋" w:cs="Times New Roman"/>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color w:val="000000" w:themeColor="text1"/>
                <w:sz w:val="24"/>
                <w:szCs w:val="24"/>
                <w:lang w:val="en-US" w:eastAsia="zh-CN"/>
                <w14:textFill>
                  <w14:solidFill>
                    <w14:schemeClr w14:val="tx1"/>
                  </w14:solidFill>
                </w14:textFill>
              </w:rPr>
              <w:t>67</w:t>
            </w:r>
          </w:p>
        </w:tc>
        <w:tc>
          <w:tcPr>
            <w:tcW w:w="845" w:type="pct"/>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仿宋" w:cs="Times New Roman"/>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color w:val="000000" w:themeColor="text1"/>
                <w:sz w:val="24"/>
                <w:szCs w:val="24"/>
                <w:lang w:val="en-US" w:eastAsia="zh-CN"/>
                <w14:textFill>
                  <w14:solidFill>
                    <w14:schemeClr w14:val="tx1"/>
                  </w14:solidFill>
                </w14:textFill>
              </w:rPr>
              <w:t>68</w:t>
            </w:r>
          </w:p>
        </w:tc>
        <w:tc>
          <w:tcPr>
            <w:tcW w:w="844" w:type="pct"/>
            <w:tcBorders>
              <w:tl2br w:val="nil"/>
              <w:tr2bl w:val="nil"/>
            </w:tcBorders>
            <w:noWrap w:val="0"/>
            <w:vAlign w:val="center"/>
          </w:tcPr>
          <w:p>
            <w:pPr>
              <w:spacing w:line="320" w:lineRule="exact"/>
              <w:ind w:left="0" w:leftChars="0" w:firstLine="0" w:firstLineChars="0"/>
              <w:jc w:val="center"/>
              <w:rPr>
                <w:rFonts w:hint="default" w:ascii="Times New Roman" w:hAnsi="Times New Roman" w:eastAsia="仿宋" w:cs="Times New Roman"/>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color w:val="000000" w:themeColor="text1"/>
                <w:sz w:val="24"/>
                <w:szCs w:val="24"/>
                <w:lang w:val="en-US" w:eastAsia="zh-CN"/>
                <w14:textFill>
                  <w14:solidFill>
                    <w14:schemeClr w14:val="tx1"/>
                  </w14:solidFill>
                </w14:textFill>
              </w:rPr>
              <w:t>97</w:t>
            </w:r>
          </w:p>
        </w:tc>
      </w:tr>
    </w:tbl>
    <w:p>
      <w:pPr>
        <w:numPr>
          <w:ilvl w:val="0"/>
          <w:numId w:val="0"/>
        </w:numPr>
        <w:ind w:firstLine="560" w:firstLineChars="200"/>
        <w:rPr>
          <w:rFonts w:hint="default" w:ascii="Times New Roman" w:hAnsi="Times New Roman" w:eastAsia="黑体" w:cs="Times New Roman"/>
          <w:b w:val="0"/>
          <w:bCs w:val="0"/>
          <w:color w:val="auto"/>
          <w:lang w:val="en-US" w:eastAsia="zh-CN"/>
        </w:rPr>
      </w:pPr>
      <w:r>
        <w:rPr>
          <w:rFonts w:hint="default" w:ascii="Times New Roman" w:hAnsi="Times New Roman" w:eastAsia="黑体" w:cs="Times New Roman"/>
          <w:b w:val="0"/>
          <w:bCs w:val="0"/>
          <w:color w:val="auto"/>
          <w:lang w:val="en-US" w:eastAsia="zh-CN"/>
        </w:rPr>
        <w:t>2、执法监测企业超标和达标情况</w:t>
      </w:r>
    </w:p>
    <w:p>
      <w:pPr>
        <w:keepNext w:val="0"/>
        <w:keepLines w:val="0"/>
        <w:pageBreakBefore w:val="0"/>
        <w:widowControl w:val="0"/>
        <w:kinsoku/>
        <w:wordWrap/>
        <w:overflowPunct/>
        <w:topLinePunct w:val="0"/>
        <w:autoSpaceDE/>
        <w:autoSpaceDN/>
        <w:bidi w:val="0"/>
        <w:adjustRightInd/>
        <w:snapToGrid/>
        <w:spacing w:before="157" w:beforeLines="50"/>
        <w:ind w:firstLine="560" w:firstLineChars="200"/>
        <w:textAlignment w:val="auto"/>
        <w:rPr>
          <w:rFonts w:hint="default" w:ascii="Times New Roman" w:hAnsi="Times New Roman" w:cs="Times New Roman"/>
          <w:color w:val="FF0000"/>
          <w:lang w:val="en-US" w:eastAsia="zh-CN"/>
        </w:rPr>
      </w:pPr>
      <w:r>
        <w:rPr>
          <w:rFonts w:hint="default" w:ascii="Times New Roman" w:hAnsi="Times New Roman" w:cs="Times New Roman"/>
          <w:color w:val="000000" w:themeColor="text1"/>
          <w:lang w:val="en-US" w:eastAsia="zh-CN"/>
          <w14:textFill>
            <w14:solidFill>
              <w14:schemeClr w14:val="tx1"/>
            </w14:solidFill>
          </w14:textFill>
        </w:rPr>
        <w:t>2018—2022年吉林省污水处理厂执法监测企业超标企业数和达标率，详见表2-14。</w:t>
      </w:r>
    </w:p>
    <w:p>
      <w:pPr>
        <w:bidi w:val="0"/>
        <w:ind w:left="0" w:leftChars="0" w:firstLine="0" w:firstLineChars="0"/>
        <w:jc w:val="center"/>
        <w:rPr>
          <w:rFonts w:hint="default" w:ascii="Times New Roman" w:hAnsi="Times New Roman" w:eastAsia="黑体"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4"/>
          <w:szCs w:val="24"/>
          <w:lang w:val="en-US" w:eastAsia="zh-CN"/>
          <w14:textFill>
            <w14:solidFill>
              <w14:schemeClr w14:val="tx1"/>
            </w14:solidFill>
          </w14:textFill>
        </w:rPr>
        <w:t>表2-14  2018-2022年污水处理厂超标情况和达标率情况</w:t>
      </w:r>
    </w:p>
    <w:tbl>
      <w:tblPr>
        <w:tblStyle w:val="10"/>
        <w:tblW w:w="4986" w:type="pct"/>
        <w:tblInd w:w="0" w:type="dxa"/>
        <w:tblBorders>
          <w:top w:val="single" w:color="auto" w:sz="12" w:space="0"/>
          <w:left w:val="none" w:color="auto" w:sz="0" w:space="0"/>
          <w:bottom w:val="single" w:color="auto" w:sz="12"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1306"/>
        <w:gridCol w:w="1535"/>
        <w:gridCol w:w="1535"/>
        <w:gridCol w:w="1535"/>
        <w:gridCol w:w="1535"/>
        <w:gridCol w:w="1533"/>
      </w:tblGrid>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681" w:hRule="atLeast"/>
        </w:trPr>
        <w:tc>
          <w:tcPr>
            <w:tcW w:w="727" w:type="pct"/>
            <w:tcBorders>
              <w:bottom w:val="single" w:color="auto" w:sz="12" w:space="0"/>
            </w:tcBorders>
            <w:noWrap w:val="0"/>
            <w:vAlign w:val="center"/>
          </w:tcPr>
          <w:p>
            <w:pPr>
              <w:spacing w:line="320" w:lineRule="exact"/>
              <w:ind w:left="0" w:leftChars="0" w:firstLine="0" w:firstLineChars="0"/>
              <w:jc w:val="center"/>
              <w:rPr>
                <w:rFonts w:hint="default" w:ascii="Times New Roman" w:hAnsi="Times New Roman" w:eastAsia="黑体" w:cs="Times New Roman"/>
                <w:b/>
                <w:color w:val="000000" w:themeColor="text1"/>
                <w:sz w:val="24"/>
                <w:szCs w:val="24"/>
                <w:lang w:val="en-US" w:eastAsia="zh-CN"/>
                <w14:textFill>
                  <w14:solidFill>
                    <w14:schemeClr w14:val="tx1"/>
                  </w14:solidFill>
                </w14:textFill>
              </w:rPr>
            </w:pPr>
            <w:r>
              <w:rPr>
                <w:rFonts w:hint="default" w:ascii="Times New Roman" w:hAnsi="Times New Roman" w:eastAsia="黑体" w:cs="Times New Roman"/>
                <w:b/>
                <w:color w:val="000000" w:themeColor="text1"/>
                <w:sz w:val="24"/>
                <w:szCs w:val="24"/>
                <w:lang w:val="en-US" w:eastAsia="zh-CN"/>
                <w14:textFill>
                  <w14:solidFill>
                    <w14:schemeClr w14:val="tx1"/>
                  </w14:solidFill>
                </w14:textFill>
              </w:rPr>
              <w:t>年度</w:t>
            </w:r>
          </w:p>
        </w:tc>
        <w:tc>
          <w:tcPr>
            <w:tcW w:w="854" w:type="pct"/>
            <w:tcBorders>
              <w:bottom w:val="single" w:color="auto" w:sz="12" w:space="0"/>
            </w:tcBorders>
            <w:noWrap w:val="0"/>
            <w:vAlign w:val="center"/>
          </w:tcPr>
          <w:p>
            <w:pPr>
              <w:spacing w:line="320" w:lineRule="exact"/>
              <w:ind w:left="0" w:leftChars="0" w:firstLine="0" w:firstLineChars="0"/>
              <w:jc w:val="center"/>
              <w:rPr>
                <w:rFonts w:hint="default" w:ascii="Times New Roman" w:hAnsi="Times New Roman" w:eastAsia="黑体" w:cs="Times New Roman"/>
                <w:b/>
                <w:color w:val="000000" w:themeColor="text1"/>
                <w:sz w:val="24"/>
                <w:szCs w:val="24"/>
                <w:lang w:val="en-US" w:eastAsia="zh-CN"/>
                <w14:textFill>
                  <w14:solidFill>
                    <w14:schemeClr w14:val="tx1"/>
                  </w14:solidFill>
                </w14:textFill>
              </w:rPr>
            </w:pPr>
            <w:r>
              <w:rPr>
                <w:rFonts w:hint="default" w:ascii="Times New Roman" w:hAnsi="Times New Roman" w:eastAsia="黑体" w:cs="Times New Roman"/>
                <w:b/>
                <w:color w:val="000000" w:themeColor="text1"/>
                <w:sz w:val="24"/>
                <w:szCs w:val="24"/>
                <w:lang w:val="en-US" w:eastAsia="zh-CN"/>
                <w14:textFill>
                  <w14:solidFill>
                    <w14:schemeClr w14:val="tx1"/>
                  </w14:solidFill>
                </w14:textFill>
              </w:rPr>
              <w:t>2018年</w:t>
            </w:r>
          </w:p>
        </w:tc>
        <w:tc>
          <w:tcPr>
            <w:tcW w:w="854" w:type="pct"/>
            <w:tcBorders>
              <w:bottom w:val="single" w:color="auto" w:sz="12" w:space="0"/>
            </w:tcBorders>
            <w:noWrap w:val="0"/>
            <w:vAlign w:val="center"/>
          </w:tcPr>
          <w:p>
            <w:pPr>
              <w:spacing w:line="320" w:lineRule="exact"/>
              <w:ind w:left="0" w:leftChars="0" w:firstLine="0" w:firstLineChars="0"/>
              <w:jc w:val="center"/>
              <w:rPr>
                <w:rFonts w:hint="default" w:ascii="Times New Roman" w:hAnsi="Times New Roman" w:eastAsia="黑体" w:cs="Times New Roman"/>
                <w:b/>
                <w:color w:val="000000" w:themeColor="text1"/>
                <w:sz w:val="24"/>
                <w:szCs w:val="24"/>
                <w:lang w:val="en-US" w:eastAsia="zh-CN"/>
                <w14:textFill>
                  <w14:solidFill>
                    <w14:schemeClr w14:val="tx1"/>
                  </w14:solidFill>
                </w14:textFill>
              </w:rPr>
            </w:pPr>
            <w:r>
              <w:rPr>
                <w:rFonts w:hint="default" w:ascii="Times New Roman" w:hAnsi="Times New Roman" w:eastAsia="黑体" w:cs="Times New Roman"/>
                <w:b/>
                <w:color w:val="000000" w:themeColor="text1"/>
                <w:sz w:val="24"/>
                <w:szCs w:val="24"/>
                <w:lang w:val="en-US" w:eastAsia="zh-CN"/>
                <w14:textFill>
                  <w14:solidFill>
                    <w14:schemeClr w14:val="tx1"/>
                  </w14:solidFill>
                </w14:textFill>
              </w:rPr>
              <w:t>2019年</w:t>
            </w:r>
          </w:p>
        </w:tc>
        <w:tc>
          <w:tcPr>
            <w:tcW w:w="854" w:type="pct"/>
            <w:tcBorders>
              <w:bottom w:val="single" w:color="auto" w:sz="12" w:space="0"/>
            </w:tcBorders>
            <w:noWrap w:val="0"/>
            <w:vAlign w:val="center"/>
          </w:tcPr>
          <w:p>
            <w:pPr>
              <w:spacing w:line="320" w:lineRule="exact"/>
              <w:ind w:left="0" w:leftChars="0" w:firstLine="0" w:firstLineChars="0"/>
              <w:jc w:val="center"/>
              <w:rPr>
                <w:rFonts w:hint="default" w:ascii="Times New Roman" w:hAnsi="Times New Roman" w:eastAsia="黑体" w:cs="Times New Roman"/>
                <w:b/>
                <w:color w:val="000000" w:themeColor="text1"/>
                <w:sz w:val="24"/>
                <w:szCs w:val="24"/>
                <w:lang w:val="en-US" w:eastAsia="zh-CN"/>
                <w14:textFill>
                  <w14:solidFill>
                    <w14:schemeClr w14:val="tx1"/>
                  </w14:solidFill>
                </w14:textFill>
              </w:rPr>
            </w:pPr>
            <w:r>
              <w:rPr>
                <w:rFonts w:hint="default" w:ascii="Times New Roman" w:hAnsi="Times New Roman" w:eastAsia="黑体" w:cs="Times New Roman"/>
                <w:b/>
                <w:color w:val="000000" w:themeColor="text1"/>
                <w:sz w:val="24"/>
                <w:szCs w:val="24"/>
                <w:lang w:val="en-US" w:eastAsia="zh-CN"/>
                <w14:textFill>
                  <w14:solidFill>
                    <w14:schemeClr w14:val="tx1"/>
                  </w14:solidFill>
                </w14:textFill>
              </w:rPr>
              <w:t>2020年</w:t>
            </w:r>
          </w:p>
        </w:tc>
        <w:tc>
          <w:tcPr>
            <w:tcW w:w="854" w:type="pct"/>
            <w:tcBorders>
              <w:bottom w:val="single" w:color="auto" w:sz="12" w:space="0"/>
            </w:tcBorders>
            <w:noWrap w:val="0"/>
            <w:vAlign w:val="center"/>
          </w:tcPr>
          <w:p>
            <w:pPr>
              <w:spacing w:line="320" w:lineRule="exact"/>
              <w:ind w:left="0" w:leftChars="0" w:firstLine="0" w:firstLineChars="0"/>
              <w:jc w:val="center"/>
              <w:rPr>
                <w:rFonts w:hint="default" w:ascii="Times New Roman" w:hAnsi="Times New Roman" w:eastAsia="黑体" w:cs="Times New Roman"/>
                <w:b/>
                <w:color w:val="000000" w:themeColor="text1"/>
                <w:sz w:val="24"/>
                <w:szCs w:val="24"/>
                <w:lang w:val="en-US" w:eastAsia="zh-CN"/>
                <w14:textFill>
                  <w14:solidFill>
                    <w14:schemeClr w14:val="tx1"/>
                  </w14:solidFill>
                </w14:textFill>
              </w:rPr>
            </w:pPr>
            <w:r>
              <w:rPr>
                <w:rFonts w:hint="default" w:ascii="Times New Roman" w:hAnsi="Times New Roman" w:eastAsia="黑体" w:cs="Times New Roman"/>
                <w:b/>
                <w:color w:val="000000" w:themeColor="text1"/>
                <w:sz w:val="24"/>
                <w:szCs w:val="24"/>
                <w:lang w:val="en-US" w:eastAsia="zh-CN"/>
                <w14:textFill>
                  <w14:solidFill>
                    <w14:schemeClr w14:val="tx1"/>
                  </w14:solidFill>
                </w14:textFill>
              </w:rPr>
              <w:t>2021年</w:t>
            </w:r>
          </w:p>
        </w:tc>
        <w:tc>
          <w:tcPr>
            <w:tcW w:w="853" w:type="pct"/>
            <w:tcBorders>
              <w:bottom w:val="single" w:color="auto" w:sz="12" w:space="0"/>
            </w:tcBorders>
            <w:noWrap w:val="0"/>
            <w:vAlign w:val="center"/>
          </w:tcPr>
          <w:p>
            <w:pPr>
              <w:spacing w:line="320" w:lineRule="exact"/>
              <w:ind w:left="0" w:leftChars="0" w:firstLine="0" w:firstLineChars="0"/>
              <w:jc w:val="center"/>
              <w:rPr>
                <w:rFonts w:hint="default" w:ascii="Times New Roman" w:hAnsi="Times New Roman" w:eastAsia="黑体" w:cs="Times New Roman"/>
                <w:b/>
                <w:color w:val="000000" w:themeColor="text1"/>
                <w:sz w:val="24"/>
                <w:szCs w:val="24"/>
                <w:lang w:val="en-US" w:eastAsia="zh-CN"/>
                <w14:textFill>
                  <w14:solidFill>
                    <w14:schemeClr w14:val="tx1"/>
                  </w14:solidFill>
                </w14:textFill>
              </w:rPr>
            </w:pPr>
            <w:r>
              <w:rPr>
                <w:rFonts w:hint="default" w:ascii="Times New Roman" w:hAnsi="Times New Roman" w:eastAsia="黑体" w:cs="Times New Roman"/>
                <w:b/>
                <w:color w:val="000000" w:themeColor="text1"/>
                <w:sz w:val="24"/>
                <w:szCs w:val="24"/>
                <w:lang w:val="en-US" w:eastAsia="zh-CN"/>
                <w14:textFill>
                  <w14:solidFill>
                    <w14:schemeClr w14:val="tx1"/>
                  </w14:solidFill>
                </w14:textFill>
              </w:rPr>
              <w:t>2022年</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29" w:hRule="atLeast"/>
        </w:trPr>
        <w:tc>
          <w:tcPr>
            <w:tcW w:w="727" w:type="pct"/>
            <w:tcBorders>
              <w:top w:val="single" w:color="auto" w:sz="12" w:space="0"/>
              <w:bottom w:val="nil"/>
            </w:tcBorders>
            <w:noWrap w:val="0"/>
            <w:vAlign w:val="center"/>
          </w:tcPr>
          <w:p>
            <w:pPr>
              <w:spacing w:line="320" w:lineRule="exact"/>
              <w:ind w:left="0" w:leftChars="0" w:firstLine="0" w:firstLineChars="0"/>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超标企业（家）次</w:t>
            </w:r>
          </w:p>
        </w:tc>
        <w:tc>
          <w:tcPr>
            <w:tcW w:w="854" w:type="pct"/>
            <w:tcBorders>
              <w:top w:val="single" w:color="auto" w:sz="12" w:space="0"/>
              <w:bottom w:val="nil"/>
            </w:tcBorders>
            <w:noWrap w:val="0"/>
            <w:vAlign w:val="center"/>
          </w:tcPr>
          <w:p>
            <w:pPr>
              <w:spacing w:line="320" w:lineRule="exact"/>
              <w:ind w:left="0" w:leftChars="0" w:firstLine="0" w:firstLineChars="0"/>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25</w:t>
            </w:r>
          </w:p>
        </w:tc>
        <w:tc>
          <w:tcPr>
            <w:tcW w:w="854" w:type="pct"/>
            <w:tcBorders>
              <w:top w:val="single" w:color="auto" w:sz="12" w:space="0"/>
              <w:bottom w:val="nil"/>
            </w:tcBorders>
            <w:noWrap w:val="0"/>
            <w:vAlign w:val="center"/>
          </w:tcPr>
          <w:p>
            <w:pPr>
              <w:spacing w:line="320" w:lineRule="exact"/>
              <w:ind w:left="0" w:leftChars="0" w:firstLine="0" w:firstLineChars="0"/>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9</w:t>
            </w:r>
          </w:p>
        </w:tc>
        <w:tc>
          <w:tcPr>
            <w:tcW w:w="854" w:type="pct"/>
            <w:tcBorders>
              <w:top w:val="single" w:color="auto" w:sz="12" w:space="0"/>
              <w:bottom w:val="nil"/>
            </w:tcBorders>
            <w:noWrap w:val="0"/>
            <w:vAlign w:val="center"/>
          </w:tcPr>
          <w:p>
            <w:pPr>
              <w:spacing w:line="320" w:lineRule="exact"/>
              <w:ind w:left="0" w:leftChars="0" w:firstLine="0" w:firstLineChars="0"/>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3</w:t>
            </w:r>
          </w:p>
        </w:tc>
        <w:tc>
          <w:tcPr>
            <w:tcW w:w="854" w:type="pct"/>
            <w:tcBorders>
              <w:top w:val="single" w:color="auto" w:sz="12" w:space="0"/>
              <w:bottom w:val="nil"/>
            </w:tcBorders>
            <w:noWrap w:val="0"/>
            <w:vAlign w:val="center"/>
          </w:tcPr>
          <w:p>
            <w:pPr>
              <w:spacing w:line="320" w:lineRule="exact"/>
              <w:ind w:left="0" w:leftChars="0" w:firstLine="0" w:firstLineChars="0"/>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3</w:t>
            </w:r>
          </w:p>
        </w:tc>
        <w:tc>
          <w:tcPr>
            <w:tcW w:w="853" w:type="pct"/>
            <w:tcBorders>
              <w:top w:val="single" w:color="auto" w:sz="12" w:space="0"/>
              <w:bottom w:val="nil"/>
            </w:tcBorders>
            <w:noWrap w:val="0"/>
            <w:vAlign w:val="center"/>
          </w:tcPr>
          <w:p>
            <w:pPr>
              <w:spacing w:line="320" w:lineRule="exact"/>
              <w:ind w:left="0" w:leftChars="0" w:firstLine="0" w:firstLineChars="0"/>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0</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29" w:hRule="atLeast"/>
        </w:trPr>
        <w:tc>
          <w:tcPr>
            <w:tcW w:w="727" w:type="pct"/>
            <w:tcBorders>
              <w:top w:val="nil"/>
              <w:tl2br w:val="nil"/>
              <w:tr2bl w:val="nil"/>
            </w:tcBorders>
            <w:noWrap w:val="0"/>
            <w:vAlign w:val="center"/>
          </w:tcPr>
          <w:p>
            <w:pPr>
              <w:spacing w:line="320" w:lineRule="exact"/>
              <w:ind w:left="0" w:leftChars="0" w:firstLine="0" w:firstLineChars="0"/>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达标率</w:t>
            </w:r>
          </w:p>
        </w:tc>
        <w:tc>
          <w:tcPr>
            <w:tcW w:w="854" w:type="pct"/>
            <w:tcBorders>
              <w:top w:val="nil"/>
              <w:tl2br w:val="nil"/>
              <w:tr2bl w:val="nil"/>
            </w:tcBorders>
            <w:noWrap w:val="0"/>
            <w:vAlign w:val="center"/>
          </w:tcPr>
          <w:p>
            <w:pPr>
              <w:spacing w:line="320" w:lineRule="exact"/>
              <w:ind w:left="0" w:leftChars="0" w:firstLine="0" w:firstLineChars="0"/>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90.2%</w:t>
            </w:r>
          </w:p>
        </w:tc>
        <w:tc>
          <w:tcPr>
            <w:tcW w:w="854" w:type="pct"/>
            <w:tcBorders>
              <w:top w:val="nil"/>
              <w:tl2br w:val="nil"/>
              <w:tr2bl w:val="nil"/>
            </w:tcBorders>
            <w:noWrap w:val="0"/>
            <w:vAlign w:val="center"/>
          </w:tcPr>
          <w:p>
            <w:pPr>
              <w:spacing w:line="320" w:lineRule="exact"/>
              <w:ind w:left="0" w:leftChars="0" w:firstLine="0" w:firstLineChars="0"/>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87.3%</w:t>
            </w:r>
          </w:p>
        </w:tc>
        <w:tc>
          <w:tcPr>
            <w:tcW w:w="854" w:type="pct"/>
            <w:tcBorders>
              <w:top w:val="nil"/>
              <w:tl2br w:val="nil"/>
              <w:tr2bl w:val="nil"/>
            </w:tcBorders>
            <w:noWrap w:val="0"/>
            <w:vAlign w:val="center"/>
          </w:tcPr>
          <w:p>
            <w:pPr>
              <w:spacing w:line="320" w:lineRule="exact"/>
              <w:ind w:left="0" w:leftChars="0" w:firstLine="0" w:firstLineChars="0"/>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95.5%</w:t>
            </w:r>
          </w:p>
        </w:tc>
        <w:tc>
          <w:tcPr>
            <w:tcW w:w="854" w:type="pct"/>
            <w:tcBorders>
              <w:top w:val="nil"/>
              <w:tl2br w:val="nil"/>
              <w:tr2bl w:val="nil"/>
            </w:tcBorders>
            <w:noWrap w:val="0"/>
            <w:vAlign w:val="center"/>
          </w:tcPr>
          <w:p>
            <w:pPr>
              <w:spacing w:line="320" w:lineRule="exact"/>
              <w:ind w:left="0" w:leftChars="0" w:firstLine="0" w:firstLineChars="0"/>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95.6%</w:t>
            </w:r>
          </w:p>
        </w:tc>
        <w:tc>
          <w:tcPr>
            <w:tcW w:w="853" w:type="pct"/>
            <w:tcBorders>
              <w:top w:val="nil"/>
              <w:tl2br w:val="nil"/>
              <w:tr2bl w:val="nil"/>
            </w:tcBorders>
            <w:noWrap w:val="0"/>
            <w:vAlign w:val="center"/>
          </w:tcPr>
          <w:p>
            <w:pPr>
              <w:spacing w:line="320" w:lineRule="exact"/>
              <w:ind w:left="0" w:leftChars="0" w:firstLine="0" w:firstLineChars="0"/>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100%</w:t>
            </w:r>
          </w:p>
        </w:tc>
      </w:tr>
    </w:tbl>
    <w:p>
      <w:pPr>
        <w:bidi w:val="0"/>
        <w:ind w:firstLine="560" w:firstLineChars="200"/>
        <w:rPr>
          <w:rFonts w:hint="default" w:ascii="Times New Roman" w:hAnsi="Times New Roman" w:cs="Times New Roman"/>
          <w:lang w:eastAsia="zh-CN"/>
        </w:rPr>
      </w:pPr>
      <w:r>
        <w:rPr>
          <w:rFonts w:hint="default" w:ascii="Times New Roman" w:hAnsi="Times New Roman" w:eastAsia="黑体" w:cs="Times New Roman"/>
          <w:b w:val="0"/>
          <w:bCs w:val="0"/>
          <w:color w:val="auto"/>
          <w:lang w:val="en-US" w:eastAsia="zh-CN"/>
        </w:rPr>
        <w:t>3、五年达标率变化趋势</w:t>
      </w:r>
    </w:p>
    <w:p>
      <w:pPr>
        <w:ind w:firstLine="560" w:firstLineChars="200"/>
        <w:rPr>
          <w:rFonts w:hint="default" w:ascii="Times New Roman" w:hAnsi="Times New Roman" w:cs="Times New Roman"/>
          <w:color w:val="FF0000"/>
        </w:rPr>
      </w:pPr>
      <w:r>
        <w:rPr>
          <w:rFonts w:hint="default" w:ascii="Times New Roman" w:hAnsi="Times New Roman" w:cs="Times New Roman"/>
          <w:color w:val="000000" w:themeColor="text1"/>
          <w:lang w:val="en-US" w:eastAsia="zh-CN"/>
          <w14:textFill>
            <w14:solidFill>
              <w14:schemeClr w14:val="tx1"/>
            </w14:solidFill>
          </w14:textFill>
        </w:rPr>
        <w:t>2018—2022年吉林省污水处理厂执法监测企业达标率趋势变化呈先下降后上升，持平后又上升趋势，2022年整体达标率为100%，过去五年企业达标率均维持在87.3%以上，详见图2-9。</w:t>
      </w:r>
    </w:p>
    <w:p>
      <w:pPr>
        <w:ind w:left="0" w:leftChars="0" w:firstLine="0" w:firstLineChars="0"/>
        <w:jc w:val="center"/>
        <w:rPr>
          <w:rFonts w:hint="default" w:ascii="Times New Roman" w:hAnsi="Times New Roman" w:cs="Times New Roman"/>
          <w:color w:val="FF0000"/>
          <w:lang w:val="en-US" w:eastAsia="zh-CN"/>
        </w:rPr>
      </w:pPr>
      <w:r>
        <w:rPr>
          <w:rFonts w:hint="default" w:ascii="Times New Roman" w:hAnsi="Times New Roman" w:cs="Times New Roman"/>
        </w:rPr>
        <w:drawing>
          <wp:inline distT="0" distB="0" distL="114300" distR="114300">
            <wp:extent cx="4572000" cy="2458085"/>
            <wp:effectExtent l="0" t="0" r="0" b="0"/>
            <wp:docPr id="1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bidi w:val="0"/>
        <w:jc w:val="center"/>
        <w:rPr>
          <w:rFonts w:hint="default" w:ascii="Times New Roman" w:hAnsi="Times New Roman" w:eastAsia="黑体"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4"/>
          <w:szCs w:val="24"/>
          <w:lang w:val="en-US" w:eastAsia="zh-CN"/>
          <w14:textFill>
            <w14:solidFill>
              <w14:schemeClr w14:val="tx1"/>
            </w14:solidFill>
          </w14:textFill>
        </w:rPr>
        <w:t>图2-9  2018-2022年全省污水处理厂废水达标率变化情况</w:t>
      </w:r>
    </w:p>
    <w:p>
      <w:pPr>
        <w:pStyle w:val="3"/>
        <w:bidi w:val="0"/>
        <w:rPr>
          <w:rFonts w:hint="default" w:ascii="Times New Roman" w:hAnsi="Times New Roman" w:eastAsia="黑体" w:cs="Times New Roman"/>
          <w:b w:val="0"/>
          <w:bCs/>
          <w:sz w:val="30"/>
          <w:szCs w:val="30"/>
          <w:lang w:val="en-US" w:eastAsia="zh-CN"/>
        </w:rPr>
      </w:pPr>
      <w:bookmarkStart w:id="46" w:name="_Toc31016"/>
      <w:bookmarkStart w:id="47" w:name="_Toc32239"/>
      <w:r>
        <w:rPr>
          <w:rFonts w:hint="default" w:ascii="Times New Roman" w:hAnsi="Times New Roman" w:eastAsia="黑体" w:cs="Times New Roman"/>
          <w:b w:val="0"/>
          <w:bCs/>
          <w:sz w:val="30"/>
          <w:szCs w:val="30"/>
          <w:lang w:val="en-US" w:eastAsia="zh-CN"/>
        </w:rPr>
        <w:t>2.4无组织排放执法监测情况</w:t>
      </w:r>
      <w:bookmarkEnd w:id="46"/>
      <w:bookmarkEnd w:id="47"/>
    </w:p>
    <w:p>
      <w:pPr>
        <w:ind w:firstLine="560" w:firstLineChars="200"/>
        <w:rPr>
          <w:rFonts w:hint="default" w:ascii="Times New Roman" w:hAnsi="Times New Roman" w:cs="Times New Roman"/>
          <w:color w:val="FF0000"/>
        </w:rPr>
      </w:pPr>
      <w:r>
        <w:rPr>
          <w:rFonts w:hint="default" w:ascii="Times New Roman" w:hAnsi="Times New Roman" w:cs="Times New Roman"/>
          <w:color w:val="auto"/>
          <w:lang w:val="en-US" w:eastAsia="zh-CN"/>
        </w:rPr>
        <w:t>无组织排放执法监测数据统计中，吉林省全年执法监测手工无组织企业共计88家，详见</w:t>
      </w:r>
      <w:r>
        <w:rPr>
          <w:rFonts w:hint="default" w:ascii="Times New Roman" w:hAnsi="Times New Roman" w:cs="Times New Roman"/>
          <w:color w:val="auto"/>
        </w:rPr>
        <w:t>表</w:t>
      </w:r>
      <w:r>
        <w:rPr>
          <w:rFonts w:hint="default" w:ascii="Times New Roman" w:hAnsi="Times New Roman" w:cs="Times New Roman"/>
          <w:color w:val="000000" w:themeColor="text1"/>
          <w14:textFill>
            <w14:solidFill>
              <w14:schemeClr w14:val="tx1"/>
            </w14:solidFill>
          </w14:textFill>
        </w:rPr>
        <w:t>2-</w:t>
      </w:r>
      <w:r>
        <w:rPr>
          <w:rFonts w:hint="default" w:ascii="Times New Roman" w:hAnsi="Times New Roman" w:cs="Times New Roman"/>
          <w:color w:val="000000" w:themeColor="text1"/>
          <w:lang w:val="en-US" w:eastAsia="zh-CN"/>
          <w14:textFill>
            <w14:solidFill>
              <w14:schemeClr w14:val="tx1"/>
            </w14:solidFill>
          </w14:textFill>
        </w:rPr>
        <w:t>15</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lang w:val="en-US" w:eastAsia="zh-CN"/>
        </w:rPr>
        <w:t>长春市厂界噪声排放企业有1家超标</w:t>
      </w:r>
      <w:r>
        <w:rPr>
          <w:rFonts w:hint="default" w:ascii="Times New Roman" w:hAnsi="Times New Roman" w:cs="Times New Roman"/>
          <w:lang w:eastAsia="zh-CN"/>
        </w:rPr>
        <w:t>，</w:t>
      </w:r>
      <w:r>
        <w:rPr>
          <w:rFonts w:hint="default" w:ascii="Times New Roman" w:hAnsi="Times New Roman" w:cs="Times New Roman"/>
          <w:color w:val="auto"/>
          <w:lang w:val="en-US" w:eastAsia="zh-CN"/>
        </w:rPr>
        <w:t>总体达标率为98.9%，</w:t>
      </w:r>
      <w:r>
        <w:rPr>
          <w:rFonts w:hint="default" w:ascii="Times New Roman" w:hAnsi="Times New Roman" w:cs="Times New Roman"/>
          <w:lang w:eastAsia="zh-CN"/>
        </w:rPr>
        <w:t>详见</w:t>
      </w:r>
      <w:r>
        <w:rPr>
          <w:rFonts w:hint="default" w:ascii="Times New Roman" w:hAnsi="Times New Roman" w:cs="Times New Roman"/>
          <w:color w:val="000000" w:themeColor="text1"/>
          <w14:textFill>
            <w14:solidFill>
              <w14:schemeClr w14:val="tx1"/>
            </w14:solidFill>
          </w14:textFill>
        </w:rPr>
        <w:t>表2-</w:t>
      </w:r>
      <w:r>
        <w:rPr>
          <w:rFonts w:hint="default" w:ascii="Times New Roman" w:hAnsi="Times New Roman" w:cs="Times New Roman"/>
          <w:color w:val="000000" w:themeColor="text1"/>
          <w:lang w:val="en-US" w:eastAsia="zh-CN"/>
          <w14:textFill>
            <w14:solidFill>
              <w14:schemeClr w14:val="tx1"/>
            </w14:solidFill>
          </w14:textFill>
        </w:rPr>
        <w:t>16</w:t>
      </w:r>
      <w:r>
        <w:rPr>
          <w:rFonts w:hint="default" w:ascii="Times New Roman" w:hAnsi="Times New Roman" w:cs="Times New Roman"/>
          <w:color w:val="000000" w:themeColor="text1"/>
          <w14:textFill>
            <w14:solidFill>
              <w14:schemeClr w14:val="tx1"/>
            </w14:solidFill>
          </w14:textFill>
        </w:rPr>
        <w:t>。</w:t>
      </w:r>
    </w:p>
    <w:p>
      <w:pPr>
        <w:bidi w:val="0"/>
        <w:jc w:val="center"/>
        <w:rPr>
          <w:rFonts w:hint="default" w:ascii="Times New Roman" w:hAnsi="Times New Roman" w:eastAsia="黑体"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4"/>
          <w:szCs w:val="24"/>
          <w:lang w:val="en-US" w:eastAsia="zh-CN"/>
          <w14:textFill>
            <w14:solidFill>
              <w14:schemeClr w14:val="tx1"/>
            </w14:solidFill>
          </w14:textFill>
        </w:rPr>
        <w:t>表2-15   2022年吉林省各市（州）无组织排放执法监测情况</w:t>
      </w:r>
    </w:p>
    <w:tbl>
      <w:tblPr>
        <w:tblStyle w:val="11"/>
        <w:tblW w:w="9004"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02"/>
        <w:gridCol w:w="4502"/>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blHeader/>
        </w:trPr>
        <w:tc>
          <w:tcPr>
            <w:tcW w:w="4502"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center"/>
              <w:textAlignment w:val="auto"/>
              <w:rPr>
                <w:rFonts w:hint="default" w:ascii="Times New Roman" w:hAnsi="Times New Roman" w:eastAsia="黑体" w:cs="Times New Roman"/>
                <w:b w:val="0"/>
                <w:bCs/>
                <w:color w:val="000000" w:themeColor="text1"/>
                <w:sz w:val="24"/>
                <w:szCs w:val="24"/>
                <w:vertAlign w:val="baseline"/>
                <w14:textFill>
                  <w14:solidFill>
                    <w14:schemeClr w14:val="tx1"/>
                  </w14:solidFill>
                </w14:textFill>
              </w:rPr>
            </w:pPr>
            <w:r>
              <w:rPr>
                <w:rFonts w:hint="default" w:ascii="Times New Roman" w:hAnsi="Times New Roman" w:eastAsia="黑体" w:cs="Times New Roman"/>
                <w:b w:val="0"/>
                <w:bCs/>
                <w:color w:val="000000" w:themeColor="text1"/>
                <w:sz w:val="24"/>
                <w:szCs w:val="24"/>
                <w14:textFill>
                  <w14:solidFill>
                    <w14:schemeClr w14:val="tx1"/>
                  </w14:solidFill>
                </w14:textFill>
              </w:rPr>
              <w:t>地区名称</w:t>
            </w:r>
          </w:p>
        </w:tc>
        <w:tc>
          <w:tcPr>
            <w:tcW w:w="4502"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center"/>
              <w:textAlignment w:val="auto"/>
              <w:rPr>
                <w:rFonts w:hint="default" w:ascii="Times New Roman" w:hAnsi="Times New Roman" w:eastAsia="黑体" w:cs="Times New Roman"/>
                <w:b w:val="0"/>
                <w:bCs/>
                <w:color w:val="000000" w:themeColor="text1"/>
                <w:sz w:val="24"/>
                <w:szCs w:val="24"/>
                <w:vertAlign w:val="baseline"/>
                <w14:textFill>
                  <w14:solidFill>
                    <w14:schemeClr w14:val="tx1"/>
                  </w14:solidFill>
                </w14:textFill>
              </w:rPr>
            </w:pPr>
            <w:r>
              <w:rPr>
                <w:rFonts w:hint="default" w:ascii="Times New Roman" w:hAnsi="Times New Roman" w:eastAsia="黑体" w:cs="Times New Roman"/>
                <w:b w:val="0"/>
                <w:bCs/>
                <w:color w:val="000000" w:themeColor="text1"/>
                <w:sz w:val="24"/>
                <w:szCs w:val="24"/>
                <w:lang w:val="en-US" w:eastAsia="zh-CN"/>
                <w14:textFill>
                  <w14:solidFill>
                    <w14:schemeClr w14:val="tx1"/>
                  </w14:solidFill>
                </w14:textFill>
              </w:rPr>
              <w:t>无组织</w:t>
            </w:r>
            <w:r>
              <w:rPr>
                <w:rFonts w:hint="default" w:ascii="Times New Roman" w:hAnsi="Times New Roman" w:eastAsia="黑体" w:cs="Times New Roman"/>
                <w:b w:val="0"/>
                <w:bCs w:val="0"/>
                <w:color w:val="000000" w:themeColor="text1"/>
                <w:sz w:val="24"/>
                <w:szCs w:val="24"/>
                <w:lang w:val="en-US" w:eastAsia="zh-CN"/>
                <w14:textFill>
                  <w14:solidFill>
                    <w14:schemeClr w14:val="tx1"/>
                  </w14:solidFill>
                </w14:textFill>
              </w:rPr>
              <w:t>排放</w:t>
            </w:r>
            <w:r>
              <w:rPr>
                <w:rFonts w:hint="default" w:ascii="Times New Roman" w:hAnsi="Times New Roman" w:eastAsia="黑体" w:cs="Times New Roman"/>
                <w:b w:val="0"/>
                <w:bCs/>
                <w:color w:val="000000" w:themeColor="text1"/>
                <w:sz w:val="24"/>
                <w:szCs w:val="24"/>
                <w:lang w:val="en-US" w:eastAsia="zh-CN"/>
                <w14:textFill>
                  <w14:solidFill>
                    <w14:schemeClr w14:val="tx1"/>
                  </w14:solidFill>
                </w14:textFill>
              </w:rPr>
              <w:t>执法监测（家）</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000000" w:themeColor="text1"/>
                <w:sz w:val="21"/>
                <w:szCs w:val="21"/>
                <w:vertAlign w:val="baseline"/>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吉林省</w:t>
            </w:r>
          </w:p>
        </w:tc>
        <w:tc>
          <w:tcPr>
            <w:tcW w:w="4502" w:type="dxa"/>
            <w:tcBorders>
              <w:top w:val="single" w:color="auto" w:sz="12"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88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000000" w:themeColor="text1"/>
                <w:sz w:val="21"/>
                <w:szCs w:val="21"/>
                <w:vertAlign w:val="baseline"/>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长春市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14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000000" w:themeColor="text1"/>
                <w:sz w:val="21"/>
                <w:szCs w:val="21"/>
                <w:vertAlign w:val="baseline"/>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吉林市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58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000000" w:themeColor="text1"/>
                <w:sz w:val="21"/>
                <w:szCs w:val="21"/>
                <w:vertAlign w:val="baseline"/>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四平市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000000" w:themeColor="text1"/>
                <w:sz w:val="21"/>
                <w:szCs w:val="21"/>
                <w:vertAlign w:val="baseline"/>
                <w14:textFill>
                  <w14:solidFill>
                    <w14:schemeClr w14:val="tx1"/>
                  </w14:solidFill>
                </w14:textFill>
              </w:rPr>
            </w:pPr>
            <w:r>
              <w:rPr>
                <w:rFonts w:hint="default" w:ascii="Times New Roman" w:hAnsi="Times New Roman" w:eastAsia="仿宋" w:cs="Times New Roman"/>
                <w:color w:val="auto"/>
                <w:sz w:val="21"/>
                <w:szCs w:val="21"/>
              </w:rPr>
              <w:t>辽源市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000000" w:themeColor="text1"/>
                <w:sz w:val="21"/>
                <w:szCs w:val="21"/>
                <w:vertAlign w:val="baseline"/>
                <w:lang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eastAsia="zh-CN"/>
                <w14:textFill>
                  <w14:solidFill>
                    <w14:schemeClr w14:val="tx1"/>
                  </w14:solidFill>
                </w14:textFill>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000000" w:themeColor="text1"/>
                <w:sz w:val="21"/>
                <w:szCs w:val="21"/>
                <w:vertAlign w:val="baseline"/>
                <w14:textFill>
                  <w14:solidFill>
                    <w14:schemeClr w14:val="tx1"/>
                  </w14:solidFill>
                </w14:textFill>
              </w:rPr>
            </w:pPr>
            <w:r>
              <w:rPr>
                <w:rFonts w:hint="default" w:ascii="Times New Roman" w:hAnsi="Times New Roman" w:eastAsia="仿宋" w:cs="Times New Roman"/>
                <w:color w:val="auto"/>
                <w:sz w:val="21"/>
                <w:szCs w:val="21"/>
              </w:rPr>
              <w:t>通化市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000000" w:themeColor="text1"/>
                <w:sz w:val="21"/>
                <w:szCs w:val="21"/>
                <w:lang w:eastAsia="zh-CN"/>
                <w14:textFill>
                  <w14:solidFill>
                    <w14:schemeClr w14:val="tx1"/>
                  </w14:solidFill>
                </w14:textFill>
              </w:rPr>
            </w:pPr>
            <w:r>
              <w:rPr>
                <w:rFonts w:hint="default" w:ascii="Times New Roman" w:hAnsi="Times New Roman" w:eastAsia="仿宋" w:cs="Times New Roman"/>
                <w:color w:val="auto"/>
                <w:sz w:val="21"/>
                <w:szCs w:val="21"/>
              </w:rPr>
              <w:t>白山市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000000" w:themeColor="text1"/>
                <w:sz w:val="21"/>
                <w:szCs w:val="21"/>
                <w:vertAlign w:val="baseline"/>
                <w14:textFill>
                  <w14:solidFill>
                    <w14:schemeClr w14:val="tx1"/>
                  </w14:solidFill>
                </w14:textFill>
              </w:rPr>
            </w:pPr>
            <w:r>
              <w:rPr>
                <w:rFonts w:hint="default" w:ascii="Times New Roman" w:hAnsi="Times New Roman" w:eastAsia="仿宋" w:cs="Times New Roman"/>
                <w:color w:val="auto"/>
                <w:sz w:val="21"/>
                <w:szCs w:val="21"/>
              </w:rPr>
              <w:t>松原市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eastAsia="zh-CN"/>
                <w14:textFill>
                  <w14:solidFill>
                    <w14:schemeClr w14:val="tx1"/>
                  </w14:solidFill>
                </w14:textFill>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000000" w:themeColor="text1"/>
                <w:sz w:val="21"/>
                <w:szCs w:val="21"/>
                <w:vertAlign w:val="baseline"/>
                <w14:textFill>
                  <w14:solidFill>
                    <w14:schemeClr w14:val="tx1"/>
                  </w14:solidFill>
                </w14:textFill>
              </w:rPr>
            </w:pPr>
            <w:r>
              <w:rPr>
                <w:rFonts w:hint="default" w:ascii="Times New Roman" w:hAnsi="Times New Roman" w:eastAsia="仿宋" w:cs="Times New Roman"/>
                <w:color w:val="auto"/>
                <w:sz w:val="21"/>
                <w:szCs w:val="21"/>
              </w:rPr>
              <w:t>白城市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000000" w:themeColor="text1"/>
                <w:sz w:val="21"/>
                <w:szCs w:val="21"/>
                <w:vertAlign w:val="baseline"/>
                <w14:textFill>
                  <w14:solidFill>
                    <w14:schemeClr w14:val="tx1"/>
                  </w14:solidFill>
                </w14:textFill>
              </w:rPr>
            </w:pPr>
            <w:r>
              <w:rPr>
                <w:rFonts w:hint="default" w:ascii="Times New Roman" w:hAnsi="Times New Roman" w:eastAsia="仿宋" w:cs="Times New Roman"/>
                <w:color w:val="auto"/>
                <w:sz w:val="21"/>
                <w:szCs w:val="21"/>
              </w:rPr>
              <w:t>延边州</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000000" w:themeColor="text1"/>
                <w:sz w:val="21"/>
                <w:szCs w:val="21"/>
                <w:vertAlign w:val="baseline"/>
                <w14:textFill>
                  <w14:solidFill>
                    <w14:schemeClr w14:val="tx1"/>
                  </w14:solidFill>
                </w14:textFill>
              </w:rPr>
            </w:pPr>
            <w:r>
              <w:rPr>
                <w:rFonts w:hint="default" w:ascii="Times New Roman" w:hAnsi="Times New Roman" w:eastAsia="仿宋" w:cs="Times New Roman"/>
                <w:color w:val="auto"/>
                <w:sz w:val="21"/>
                <w:szCs w:val="21"/>
                <w:lang w:eastAsia="zh-CN"/>
              </w:rPr>
              <w:t>长白山管委会</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eastAsia="zh-CN"/>
                <w14:textFill>
                  <w14:solidFill>
                    <w14:schemeClr w14:val="tx1"/>
                  </w14:solidFill>
                </w14:textFill>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000000" w:themeColor="text1"/>
                <w:sz w:val="21"/>
                <w:szCs w:val="21"/>
                <w:vertAlign w:val="baseline"/>
                <w14:textFill>
                  <w14:solidFill>
                    <w14:schemeClr w14:val="tx1"/>
                  </w14:solidFill>
                </w14:textFill>
              </w:rPr>
            </w:pPr>
            <w:r>
              <w:rPr>
                <w:rFonts w:hint="default" w:ascii="Times New Roman" w:hAnsi="Times New Roman" w:eastAsia="仿宋" w:cs="Times New Roman"/>
                <w:color w:val="auto"/>
                <w:sz w:val="21"/>
                <w:szCs w:val="21"/>
                <w:vertAlign w:val="baseline"/>
                <w:lang w:val="en-US" w:eastAsia="zh-CN"/>
              </w:rPr>
              <w:t>梅河口市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000000" w:themeColor="text1"/>
                <w:sz w:val="21"/>
                <w:szCs w:val="21"/>
                <w:vertAlign w:val="baseline"/>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eastAsia="zh-CN"/>
                <w14:textFill>
                  <w14:solidFill>
                    <w14:schemeClr w14:val="tx1"/>
                  </w14:solidFill>
                </w14:textFill>
              </w:rPr>
              <w:t>——</w:t>
            </w:r>
          </w:p>
        </w:tc>
      </w:tr>
    </w:tbl>
    <w:p>
      <w:pPr>
        <w:bidi w:val="0"/>
        <w:jc w:val="center"/>
        <w:rPr>
          <w:rFonts w:hint="default" w:ascii="Times New Roman" w:hAnsi="Times New Roman" w:eastAsia="黑体"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4"/>
          <w:szCs w:val="24"/>
          <w:lang w:val="en-US" w:eastAsia="zh-CN"/>
          <w14:textFill>
            <w14:solidFill>
              <w14:schemeClr w14:val="tx1"/>
            </w14:solidFill>
          </w14:textFill>
        </w:rPr>
        <w:t>表2-16  2022年吉林省各市（州）无组织排放执法监测超标情况</w:t>
      </w:r>
    </w:p>
    <w:tbl>
      <w:tblPr>
        <w:tblStyle w:val="10"/>
        <w:tblW w:w="8771" w:type="dxa"/>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48"/>
        <w:gridCol w:w="819"/>
        <w:gridCol w:w="1566"/>
        <w:gridCol w:w="1093"/>
        <w:gridCol w:w="1471"/>
        <w:gridCol w:w="960"/>
        <w:gridCol w:w="1363"/>
        <w:gridCol w:w="1151"/>
      </w:tblGrid>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348" w:type="dxa"/>
            <w:tcBorders>
              <w:bottom w:val="single" w:color="000000" w:sz="12" w:space="0"/>
            </w:tcBorders>
            <w:shd w:val="clear" w:color="auto" w:fill="auto"/>
            <w:noWrap w:val="0"/>
            <w:vAlign w:val="center"/>
          </w:tcPr>
          <w:p>
            <w:pPr>
              <w:keepNext w:val="0"/>
              <w:keepLines w:val="0"/>
              <w:widowControl/>
              <w:suppressLineNumbers w:val="0"/>
              <w:ind w:firstLine="0" w:firstLineChars="0"/>
              <w:jc w:val="center"/>
              <w:textAlignment w:val="center"/>
              <w:rPr>
                <w:rFonts w:hint="default" w:ascii="Times New Roman" w:hAnsi="Times New Roman" w:eastAsia="仿宋_GB2312" w:cs="Times New Roman"/>
                <w:b/>
                <w:bCs/>
                <w:i w:val="0"/>
                <w:color w:val="000000"/>
                <w:kern w:val="0"/>
                <w:sz w:val="24"/>
                <w:szCs w:val="24"/>
                <w:u w:val="none"/>
                <w:lang w:val="en-US" w:eastAsia="zh-CN" w:bidi="ar"/>
              </w:rPr>
            </w:pPr>
            <w:r>
              <w:rPr>
                <w:rFonts w:hint="default" w:ascii="Times New Roman" w:hAnsi="Times New Roman" w:eastAsia="仿宋_GB2312" w:cs="Times New Roman"/>
                <w:b/>
                <w:bCs/>
                <w:i w:val="0"/>
                <w:color w:val="000000"/>
                <w:kern w:val="0"/>
                <w:sz w:val="24"/>
                <w:szCs w:val="24"/>
                <w:u w:val="none"/>
                <w:lang w:val="en-US" w:eastAsia="zh-CN" w:bidi="ar"/>
              </w:rPr>
              <w:t>序号</w:t>
            </w:r>
          </w:p>
        </w:tc>
        <w:tc>
          <w:tcPr>
            <w:tcW w:w="819" w:type="dxa"/>
            <w:tcBorders>
              <w:bottom w:val="single" w:color="000000" w:sz="12" w:space="0"/>
            </w:tcBorders>
            <w:shd w:val="clear" w:color="auto" w:fill="auto"/>
            <w:noWrap w:val="0"/>
            <w:vAlign w:val="center"/>
          </w:tcPr>
          <w:p>
            <w:pPr>
              <w:keepNext w:val="0"/>
              <w:keepLines w:val="0"/>
              <w:widowControl/>
              <w:suppressLineNumbers w:val="0"/>
              <w:ind w:firstLine="0" w:firstLineChars="0"/>
              <w:jc w:val="center"/>
              <w:textAlignment w:val="center"/>
              <w:rPr>
                <w:rFonts w:hint="default" w:ascii="Times New Roman" w:hAnsi="Times New Roman" w:eastAsia="仿宋_GB2312" w:cs="Times New Roman"/>
                <w:b/>
                <w:bCs/>
                <w:i w:val="0"/>
                <w:color w:val="000000"/>
                <w:kern w:val="0"/>
                <w:sz w:val="24"/>
                <w:szCs w:val="24"/>
                <w:u w:val="none"/>
                <w:lang w:val="en-US" w:eastAsia="zh-CN" w:bidi="ar"/>
              </w:rPr>
            </w:pPr>
            <w:r>
              <w:rPr>
                <w:rFonts w:hint="default" w:ascii="Times New Roman" w:hAnsi="Times New Roman" w:eastAsia="仿宋_GB2312" w:cs="Times New Roman"/>
                <w:b/>
                <w:bCs/>
                <w:i w:val="0"/>
                <w:color w:val="000000"/>
                <w:kern w:val="0"/>
                <w:sz w:val="24"/>
                <w:szCs w:val="24"/>
                <w:u w:val="none"/>
                <w:lang w:val="en-US" w:eastAsia="zh-CN" w:bidi="ar"/>
              </w:rPr>
              <w:t>所在地</w:t>
            </w:r>
          </w:p>
        </w:tc>
        <w:tc>
          <w:tcPr>
            <w:tcW w:w="1566" w:type="dxa"/>
            <w:tcBorders>
              <w:bottom w:val="single" w:color="000000" w:sz="12" w:space="0"/>
            </w:tcBorders>
            <w:shd w:val="clear" w:color="auto" w:fill="auto"/>
            <w:noWrap w:val="0"/>
            <w:vAlign w:val="center"/>
          </w:tcPr>
          <w:p>
            <w:pPr>
              <w:keepNext w:val="0"/>
              <w:keepLines w:val="0"/>
              <w:widowControl/>
              <w:suppressLineNumbers w:val="0"/>
              <w:ind w:firstLine="0" w:firstLineChars="0"/>
              <w:jc w:val="center"/>
              <w:textAlignment w:val="center"/>
              <w:rPr>
                <w:rFonts w:hint="default" w:ascii="Times New Roman" w:hAnsi="Times New Roman" w:eastAsia="仿宋_GB2312" w:cs="Times New Roman"/>
                <w:b/>
                <w:bCs/>
                <w:i w:val="0"/>
                <w:color w:val="000000"/>
                <w:kern w:val="0"/>
                <w:sz w:val="24"/>
                <w:szCs w:val="24"/>
                <w:u w:val="none"/>
                <w:lang w:val="en-US" w:eastAsia="zh-CN" w:bidi="ar"/>
              </w:rPr>
            </w:pPr>
            <w:r>
              <w:rPr>
                <w:rFonts w:hint="default" w:ascii="Times New Roman" w:hAnsi="Times New Roman" w:eastAsia="仿宋_GB2312" w:cs="Times New Roman"/>
                <w:b/>
                <w:bCs/>
                <w:i w:val="0"/>
                <w:color w:val="000000"/>
                <w:kern w:val="0"/>
                <w:sz w:val="24"/>
                <w:szCs w:val="24"/>
                <w:u w:val="none"/>
                <w:lang w:val="en-US" w:eastAsia="zh-CN" w:bidi="ar"/>
              </w:rPr>
              <w:t>企业名称</w:t>
            </w:r>
          </w:p>
        </w:tc>
        <w:tc>
          <w:tcPr>
            <w:tcW w:w="1093" w:type="dxa"/>
            <w:tcBorders>
              <w:bottom w:val="single" w:color="000000" w:sz="12" w:space="0"/>
            </w:tcBorders>
            <w:shd w:val="clear" w:color="auto" w:fill="auto"/>
            <w:noWrap w:val="0"/>
            <w:vAlign w:val="center"/>
          </w:tcPr>
          <w:p>
            <w:pPr>
              <w:keepNext w:val="0"/>
              <w:keepLines w:val="0"/>
              <w:widowControl/>
              <w:suppressLineNumbers w:val="0"/>
              <w:ind w:firstLine="0" w:firstLineChars="0"/>
              <w:jc w:val="center"/>
              <w:textAlignment w:val="center"/>
              <w:rPr>
                <w:rFonts w:hint="default" w:ascii="Times New Roman" w:hAnsi="Times New Roman" w:eastAsia="仿宋_GB2312" w:cs="Times New Roman"/>
                <w:b/>
                <w:bCs/>
                <w:i w:val="0"/>
                <w:color w:val="000000"/>
                <w:kern w:val="0"/>
                <w:sz w:val="24"/>
                <w:szCs w:val="24"/>
                <w:u w:val="none"/>
                <w:lang w:val="en-US" w:eastAsia="zh-CN" w:bidi="ar"/>
              </w:rPr>
            </w:pPr>
            <w:r>
              <w:rPr>
                <w:rFonts w:hint="default" w:ascii="Times New Roman" w:hAnsi="Times New Roman" w:eastAsia="仿宋_GB2312" w:cs="Times New Roman"/>
                <w:b/>
                <w:bCs/>
                <w:i w:val="0"/>
                <w:color w:val="000000"/>
                <w:kern w:val="0"/>
                <w:sz w:val="24"/>
                <w:szCs w:val="24"/>
                <w:u w:val="none"/>
                <w:lang w:val="en-US" w:eastAsia="zh-CN" w:bidi="ar"/>
              </w:rPr>
              <w:t>监测</w:t>
            </w:r>
          </w:p>
          <w:p>
            <w:pPr>
              <w:keepNext w:val="0"/>
              <w:keepLines w:val="0"/>
              <w:widowControl/>
              <w:suppressLineNumbers w:val="0"/>
              <w:ind w:firstLine="0" w:firstLineChars="0"/>
              <w:jc w:val="center"/>
              <w:textAlignment w:val="center"/>
              <w:rPr>
                <w:rFonts w:hint="default" w:ascii="Times New Roman" w:hAnsi="Times New Roman" w:eastAsia="仿宋_GB2312" w:cs="Times New Roman"/>
                <w:b/>
                <w:bCs/>
                <w:i w:val="0"/>
                <w:color w:val="000000"/>
                <w:kern w:val="0"/>
                <w:sz w:val="24"/>
                <w:szCs w:val="24"/>
                <w:u w:val="none"/>
                <w:lang w:val="en-US" w:eastAsia="zh-CN" w:bidi="ar"/>
              </w:rPr>
            </w:pPr>
            <w:r>
              <w:rPr>
                <w:rFonts w:hint="default" w:ascii="Times New Roman" w:hAnsi="Times New Roman" w:eastAsia="仿宋_GB2312" w:cs="Times New Roman"/>
                <w:b/>
                <w:bCs/>
                <w:i w:val="0"/>
                <w:color w:val="000000"/>
                <w:kern w:val="0"/>
                <w:sz w:val="24"/>
                <w:szCs w:val="24"/>
                <w:u w:val="none"/>
                <w:lang w:val="en-US" w:eastAsia="zh-CN" w:bidi="ar"/>
              </w:rPr>
              <w:t>时间</w:t>
            </w:r>
          </w:p>
        </w:tc>
        <w:tc>
          <w:tcPr>
            <w:tcW w:w="1471" w:type="dxa"/>
            <w:tcBorders>
              <w:bottom w:val="single" w:color="000000" w:sz="12" w:space="0"/>
            </w:tcBorders>
            <w:shd w:val="clear" w:color="auto" w:fill="auto"/>
            <w:noWrap w:val="0"/>
            <w:vAlign w:val="center"/>
          </w:tcPr>
          <w:p>
            <w:pPr>
              <w:keepNext w:val="0"/>
              <w:keepLines w:val="0"/>
              <w:widowControl/>
              <w:suppressLineNumbers w:val="0"/>
              <w:ind w:firstLine="0" w:firstLineChars="0"/>
              <w:jc w:val="center"/>
              <w:textAlignment w:val="center"/>
              <w:rPr>
                <w:rFonts w:hint="default" w:ascii="Times New Roman" w:hAnsi="Times New Roman" w:eastAsia="仿宋_GB2312" w:cs="Times New Roman"/>
                <w:b/>
                <w:bCs/>
                <w:i w:val="0"/>
                <w:color w:val="000000"/>
                <w:kern w:val="0"/>
                <w:sz w:val="24"/>
                <w:szCs w:val="24"/>
                <w:u w:val="none"/>
                <w:lang w:val="en-US" w:eastAsia="zh-CN" w:bidi="ar"/>
              </w:rPr>
            </w:pPr>
            <w:r>
              <w:rPr>
                <w:rFonts w:hint="default" w:ascii="Times New Roman" w:hAnsi="Times New Roman" w:eastAsia="仿宋_GB2312" w:cs="Times New Roman"/>
                <w:b/>
                <w:bCs/>
                <w:i w:val="0"/>
                <w:color w:val="000000"/>
                <w:kern w:val="0"/>
                <w:sz w:val="24"/>
                <w:szCs w:val="24"/>
                <w:u w:val="none"/>
                <w:lang w:val="en-US" w:eastAsia="zh-CN" w:bidi="ar"/>
              </w:rPr>
              <w:t>监测点名称</w:t>
            </w:r>
          </w:p>
        </w:tc>
        <w:tc>
          <w:tcPr>
            <w:tcW w:w="960" w:type="dxa"/>
            <w:tcBorders>
              <w:bottom w:val="single" w:color="000000" w:sz="12" w:space="0"/>
            </w:tcBorders>
            <w:shd w:val="clear" w:color="auto" w:fill="auto"/>
            <w:noWrap w:val="0"/>
            <w:vAlign w:val="center"/>
          </w:tcPr>
          <w:p>
            <w:pPr>
              <w:keepNext w:val="0"/>
              <w:keepLines w:val="0"/>
              <w:widowControl/>
              <w:suppressLineNumbers w:val="0"/>
              <w:ind w:firstLine="0" w:firstLineChars="0"/>
              <w:jc w:val="center"/>
              <w:textAlignment w:val="center"/>
              <w:rPr>
                <w:rFonts w:hint="default" w:ascii="Times New Roman" w:hAnsi="Times New Roman" w:cs="Times New Roman"/>
                <w:b/>
                <w:bCs/>
                <w:i w:val="0"/>
                <w:color w:val="000000"/>
                <w:kern w:val="0"/>
                <w:sz w:val="24"/>
                <w:szCs w:val="24"/>
                <w:u w:val="none"/>
                <w:lang w:val="en-US" w:eastAsia="zh-CN" w:bidi="ar"/>
              </w:rPr>
            </w:pPr>
            <w:r>
              <w:rPr>
                <w:rFonts w:hint="default" w:ascii="Times New Roman" w:hAnsi="Times New Roman" w:cs="Times New Roman"/>
                <w:b/>
                <w:bCs/>
                <w:i w:val="0"/>
                <w:color w:val="000000"/>
                <w:kern w:val="0"/>
                <w:sz w:val="24"/>
                <w:szCs w:val="24"/>
                <w:u w:val="none"/>
                <w:lang w:val="en-US" w:eastAsia="zh-CN" w:bidi="ar"/>
              </w:rPr>
              <w:t>监测</w:t>
            </w:r>
          </w:p>
          <w:p>
            <w:pPr>
              <w:keepNext w:val="0"/>
              <w:keepLines w:val="0"/>
              <w:widowControl/>
              <w:suppressLineNumbers w:val="0"/>
              <w:ind w:firstLine="0" w:firstLineChars="0"/>
              <w:jc w:val="center"/>
              <w:textAlignment w:val="center"/>
              <w:rPr>
                <w:rFonts w:hint="default" w:ascii="Times New Roman" w:hAnsi="Times New Roman" w:eastAsia="仿宋_GB2312" w:cs="Times New Roman"/>
                <w:b/>
                <w:bCs/>
                <w:i w:val="0"/>
                <w:color w:val="000000"/>
                <w:kern w:val="0"/>
                <w:sz w:val="24"/>
                <w:szCs w:val="24"/>
                <w:u w:val="none"/>
                <w:lang w:val="en-US" w:eastAsia="zh-CN" w:bidi="ar"/>
              </w:rPr>
            </w:pPr>
            <w:r>
              <w:rPr>
                <w:rFonts w:hint="default" w:ascii="Times New Roman" w:hAnsi="Times New Roman" w:cs="Times New Roman"/>
                <w:b/>
                <w:bCs/>
                <w:i w:val="0"/>
                <w:color w:val="000000"/>
                <w:kern w:val="0"/>
                <w:sz w:val="24"/>
                <w:szCs w:val="24"/>
                <w:u w:val="none"/>
                <w:lang w:val="en-US" w:eastAsia="zh-CN" w:bidi="ar"/>
              </w:rPr>
              <w:t>项目</w:t>
            </w:r>
          </w:p>
        </w:tc>
        <w:tc>
          <w:tcPr>
            <w:tcW w:w="1363" w:type="dxa"/>
            <w:tcBorders>
              <w:bottom w:val="single" w:color="000000" w:sz="12" w:space="0"/>
            </w:tcBorders>
            <w:shd w:val="clear" w:color="auto" w:fill="auto"/>
            <w:noWrap w:val="0"/>
            <w:vAlign w:val="center"/>
          </w:tcPr>
          <w:p>
            <w:pPr>
              <w:keepNext w:val="0"/>
              <w:keepLines w:val="0"/>
              <w:widowControl/>
              <w:suppressLineNumbers w:val="0"/>
              <w:ind w:firstLine="0" w:firstLineChars="0"/>
              <w:jc w:val="center"/>
              <w:textAlignment w:val="center"/>
              <w:rPr>
                <w:rFonts w:hint="default" w:ascii="Times New Roman" w:hAnsi="Times New Roman" w:eastAsia="仿宋_GB2312" w:cs="Times New Roman"/>
                <w:b/>
                <w:bCs/>
                <w:i w:val="0"/>
                <w:color w:val="000000"/>
                <w:kern w:val="0"/>
                <w:sz w:val="24"/>
                <w:szCs w:val="24"/>
                <w:u w:val="none"/>
                <w:lang w:val="en-US" w:eastAsia="zh-CN" w:bidi="ar"/>
              </w:rPr>
            </w:pPr>
            <w:r>
              <w:rPr>
                <w:rFonts w:hint="default" w:ascii="Times New Roman" w:hAnsi="Times New Roman" w:cs="Times New Roman"/>
                <w:b/>
                <w:bCs/>
                <w:i w:val="0"/>
                <w:color w:val="000000"/>
                <w:kern w:val="0"/>
                <w:sz w:val="24"/>
                <w:szCs w:val="24"/>
                <w:u w:val="none"/>
                <w:lang w:val="en-US" w:eastAsia="zh-CN" w:bidi="ar"/>
              </w:rPr>
              <w:t>是否超标</w:t>
            </w:r>
          </w:p>
        </w:tc>
        <w:tc>
          <w:tcPr>
            <w:tcW w:w="1151" w:type="dxa"/>
            <w:tcBorders>
              <w:bottom w:val="single" w:color="000000" w:sz="12" w:space="0"/>
            </w:tcBorders>
            <w:shd w:val="clear" w:color="auto" w:fill="auto"/>
            <w:noWrap w:val="0"/>
            <w:vAlign w:val="center"/>
          </w:tcPr>
          <w:p>
            <w:pPr>
              <w:keepNext w:val="0"/>
              <w:keepLines w:val="0"/>
              <w:widowControl/>
              <w:suppressLineNumbers w:val="0"/>
              <w:ind w:firstLine="0" w:firstLineChars="0"/>
              <w:jc w:val="center"/>
              <w:textAlignment w:val="center"/>
              <w:rPr>
                <w:rFonts w:hint="default" w:ascii="Times New Roman" w:hAnsi="Times New Roman" w:cs="Times New Roman"/>
                <w:b/>
                <w:bCs/>
                <w:i w:val="0"/>
                <w:color w:val="000000"/>
                <w:kern w:val="0"/>
                <w:sz w:val="24"/>
                <w:szCs w:val="24"/>
                <w:u w:val="none"/>
                <w:lang w:val="en-US" w:eastAsia="zh-CN" w:bidi="ar"/>
              </w:rPr>
            </w:pPr>
            <w:r>
              <w:rPr>
                <w:rFonts w:hint="default" w:ascii="Times New Roman" w:hAnsi="Times New Roman" w:cs="Times New Roman"/>
                <w:b/>
                <w:bCs/>
                <w:i w:val="0"/>
                <w:color w:val="000000"/>
                <w:kern w:val="0"/>
                <w:sz w:val="24"/>
                <w:szCs w:val="24"/>
                <w:u w:val="none"/>
                <w:lang w:val="en-US" w:eastAsia="zh-CN" w:bidi="ar"/>
              </w:rPr>
              <w:t>超标</w:t>
            </w:r>
          </w:p>
          <w:p>
            <w:pPr>
              <w:keepNext w:val="0"/>
              <w:keepLines w:val="0"/>
              <w:widowControl/>
              <w:suppressLineNumbers w:val="0"/>
              <w:ind w:firstLine="0" w:firstLineChars="0"/>
              <w:jc w:val="center"/>
              <w:textAlignment w:val="center"/>
              <w:rPr>
                <w:rFonts w:hint="default" w:ascii="Times New Roman" w:hAnsi="Times New Roman" w:eastAsia="仿宋_GB2312" w:cs="Times New Roman"/>
                <w:b/>
                <w:bCs/>
                <w:i w:val="0"/>
                <w:color w:val="000000"/>
                <w:kern w:val="0"/>
                <w:sz w:val="24"/>
                <w:szCs w:val="24"/>
                <w:u w:val="none"/>
                <w:lang w:val="en-US" w:eastAsia="zh-CN" w:bidi="ar"/>
              </w:rPr>
            </w:pPr>
            <w:r>
              <w:rPr>
                <w:rFonts w:hint="default" w:ascii="Times New Roman" w:hAnsi="Times New Roman" w:cs="Times New Roman"/>
                <w:b/>
                <w:bCs/>
                <w:i w:val="0"/>
                <w:color w:val="000000"/>
                <w:kern w:val="0"/>
                <w:sz w:val="24"/>
                <w:szCs w:val="24"/>
                <w:u w:val="none"/>
                <w:lang w:val="en-US" w:eastAsia="zh-CN" w:bidi="ar"/>
              </w:rPr>
              <w:t>倍数</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jc w:val="center"/>
        </w:trPr>
        <w:tc>
          <w:tcPr>
            <w:tcW w:w="348" w:type="dxa"/>
            <w:vMerge w:val="restart"/>
            <w:tcBorders>
              <w:top w:val="single" w:color="000000" w:sz="12" w:space="0"/>
              <w:tl2br w:val="nil"/>
              <w:tr2bl w:val="nil"/>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center"/>
              <w:rPr>
                <w:rFonts w:hint="default" w:ascii="Times New Roman" w:hAnsi="Times New Roman" w:eastAsia="仿宋" w:cs="Times New Roman"/>
                <w:i w:val="0"/>
                <w:color w:val="000000"/>
                <w:kern w:val="0"/>
                <w:sz w:val="21"/>
                <w:szCs w:val="21"/>
                <w:u w:val="none"/>
                <w:lang w:val="en-US" w:eastAsia="zh-CN" w:bidi="ar"/>
              </w:rPr>
            </w:pPr>
            <w:r>
              <w:rPr>
                <w:rFonts w:hint="default" w:ascii="Times New Roman" w:hAnsi="Times New Roman" w:eastAsia="仿宋" w:cs="Times New Roman"/>
                <w:i w:val="0"/>
                <w:color w:val="000000"/>
                <w:kern w:val="0"/>
                <w:sz w:val="21"/>
                <w:szCs w:val="21"/>
                <w:u w:val="none"/>
                <w:lang w:val="en-US" w:eastAsia="zh-CN" w:bidi="ar"/>
              </w:rPr>
              <w:t>1</w:t>
            </w:r>
          </w:p>
        </w:tc>
        <w:tc>
          <w:tcPr>
            <w:tcW w:w="819" w:type="dxa"/>
            <w:vMerge w:val="restart"/>
            <w:tcBorders>
              <w:top w:val="single" w:color="000000" w:sz="12" w:space="0"/>
              <w:tl2br w:val="nil"/>
              <w:tr2bl w:val="nil"/>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center"/>
              <w:rPr>
                <w:rFonts w:hint="default" w:ascii="Times New Roman" w:hAnsi="Times New Roman" w:eastAsia="仿宋" w:cs="Times New Roman"/>
                <w:i w:val="0"/>
                <w:color w:val="000000"/>
                <w:kern w:val="0"/>
                <w:sz w:val="21"/>
                <w:szCs w:val="21"/>
                <w:u w:val="none"/>
                <w:lang w:val="en-US" w:eastAsia="zh-CN" w:bidi="ar"/>
              </w:rPr>
            </w:pPr>
            <w:r>
              <w:rPr>
                <w:rFonts w:hint="default" w:ascii="Times New Roman" w:hAnsi="Times New Roman" w:eastAsia="仿宋" w:cs="Times New Roman"/>
                <w:i w:val="0"/>
                <w:color w:val="000000"/>
                <w:kern w:val="0"/>
                <w:sz w:val="21"/>
                <w:szCs w:val="21"/>
                <w:u w:val="none"/>
                <w:lang w:val="en-US" w:eastAsia="zh-CN" w:bidi="ar"/>
              </w:rPr>
              <w:t>长春市</w:t>
            </w:r>
          </w:p>
        </w:tc>
        <w:tc>
          <w:tcPr>
            <w:tcW w:w="1566" w:type="dxa"/>
            <w:vMerge w:val="restart"/>
            <w:tcBorders>
              <w:top w:val="single" w:color="000000" w:sz="12" w:space="0"/>
              <w:tl2br w:val="nil"/>
              <w:tr2bl w:val="nil"/>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center"/>
              <w:rPr>
                <w:rFonts w:hint="default" w:ascii="Times New Roman" w:hAnsi="Times New Roman" w:eastAsia="仿宋" w:cs="Times New Roman"/>
                <w:i w:val="0"/>
                <w:color w:val="000000"/>
                <w:kern w:val="0"/>
                <w:sz w:val="21"/>
                <w:szCs w:val="21"/>
                <w:u w:val="none"/>
                <w:lang w:val="en-US" w:eastAsia="zh-CN" w:bidi="ar"/>
              </w:rPr>
            </w:pPr>
            <w:r>
              <w:rPr>
                <w:rFonts w:hint="default" w:ascii="Times New Roman" w:hAnsi="Times New Roman" w:eastAsia="仿宋" w:cs="Times New Roman"/>
                <w:i w:val="0"/>
                <w:color w:val="000000"/>
                <w:kern w:val="0"/>
                <w:sz w:val="21"/>
                <w:szCs w:val="21"/>
                <w:u w:val="none"/>
                <w:lang w:val="en-US" w:eastAsia="zh-CN" w:bidi="ar"/>
              </w:rPr>
              <w:t>长春市乾通石化有限公司</w:t>
            </w:r>
          </w:p>
        </w:tc>
        <w:tc>
          <w:tcPr>
            <w:tcW w:w="1093" w:type="dxa"/>
            <w:vMerge w:val="restart"/>
            <w:tcBorders>
              <w:top w:val="single" w:color="000000" w:sz="12" w:space="0"/>
              <w:tl2br w:val="nil"/>
              <w:tr2bl w:val="nil"/>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center"/>
              <w:rPr>
                <w:rFonts w:hint="default" w:ascii="Times New Roman" w:hAnsi="Times New Roman" w:eastAsia="仿宋" w:cs="Times New Roman"/>
                <w:i w:val="0"/>
                <w:color w:val="000000"/>
                <w:kern w:val="0"/>
                <w:sz w:val="21"/>
                <w:szCs w:val="21"/>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center"/>
              <w:rPr>
                <w:rFonts w:hint="default" w:ascii="Times New Roman" w:hAnsi="Times New Roman" w:eastAsia="仿宋" w:cs="Times New Roman"/>
                <w:i w:val="0"/>
                <w:color w:val="000000"/>
                <w:kern w:val="0"/>
                <w:sz w:val="21"/>
                <w:szCs w:val="21"/>
                <w:u w:val="none"/>
                <w:lang w:val="en-US" w:eastAsia="zh-CN" w:bidi="ar"/>
              </w:rPr>
            </w:pPr>
            <w:r>
              <w:rPr>
                <w:rFonts w:hint="default" w:ascii="Times New Roman" w:hAnsi="Times New Roman" w:eastAsia="仿宋" w:cs="Times New Roman"/>
                <w:i w:val="0"/>
                <w:color w:val="000000"/>
                <w:kern w:val="0"/>
                <w:sz w:val="21"/>
                <w:szCs w:val="21"/>
                <w:u w:val="none"/>
                <w:lang w:val="en-US" w:eastAsia="zh-CN" w:bidi="ar"/>
              </w:rPr>
              <w:t>2022-3-1</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center"/>
              <w:rPr>
                <w:rFonts w:hint="default" w:ascii="Times New Roman" w:hAnsi="Times New Roman" w:eastAsia="仿宋" w:cs="Times New Roman"/>
                <w:i w:val="0"/>
                <w:color w:val="000000"/>
                <w:kern w:val="0"/>
                <w:sz w:val="21"/>
                <w:szCs w:val="21"/>
                <w:u w:val="none"/>
                <w:lang w:val="en-US" w:eastAsia="zh-CN" w:bidi="ar"/>
              </w:rPr>
            </w:pPr>
          </w:p>
        </w:tc>
        <w:tc>
          <w:tcPr>
            <w:tcW w:w="1471" w:type="dxa"/>
            <w:tcBorders>
              <w:top w:val="single" w:color="000000" w:sz="12" w:space="0"/>
              <w:bottom w:val="nil"/>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center"/>
              <w:rPr>
                <w:rFonts w:hint="default" w:ascii="Times New Roman" w:hAnsi="Times New Roman" w:eastAsia="仿宋" w:cs="Times New Roman"/>
                <w:i w:val="0"/>
                <w:color w:val="000000"/>
                <w:kern w:val="0"/>
                <w:sz w:val="21"/>
                <w:szCs w:val="21"/>
                <w:u w:val="none"/>
                <w:lang w:val="en-US" w:eastAsia="zh-CN" w:bidi="ar"/>
              </w:rPr>
            </w:pPr>
            <w:r>
              <w:rPr>
                <w:rFonts w:hint="default" w:ascii="Times New Roman" w:hAnsi="Times New Roman" w:eastAsia="仿宋" w:cs="Times New Roman"/>
                <w:i w:val="0"/>
                <w:color w:val="000000"/>
                <w:kern w:val="0"/>
                <w:sz w:val="21"/>
                <w:szCs w:val="21"/>
                <w:u w:val="none"/>
                <w:lang w:val="en-US" w:eastAsia="zh-CN" w:bidi="ar"/>
              </w:rPr>
              <w:t>厂界下风向1</w:t>
            </w:r>
          </w:p>
        </w:tc>
        <w:tc>
          <w:tcPr>
            <w:tcW w:w="960" w:type="dxa"/>
            <w:vMerge w:val="restart"/>
            <w:tcBorders>
              <w:top w:val="single" w:color="000000" w:sz="12" w:space="0"/>
              <w:tl2br w:val="nil"/>
              <w:tr2bl w:val="nil"/>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both"/>
              <w:textAlignment w:val="center"/>
              <w:rPr>
                <w:rFonts w:hint="default" w:ascii="Times New Roman" w:hAnsi="Times New Roman" w:eastAsia="仿宋" w:cs="Times New Roman"/>
                <w:i w:val="0"/>
                <w:color w:val="000000"/>
                <w:kern w:val="0"/>
                <w:sz w:val="21"/>
                <w:szCs w:val="21"/>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center"/>
              <w:rPr>
                <w:rFonts w:hint="default" w:ascii="Times New Roman" w:hAnsi="Times New Roman" w:eastAsia="仿宋" w:cs="Times New Roman"/>
                <w:i w:val="0"/>
                <w:color w:val="000000"/>
                <w:kern w:val="0"/>
                <w:sz w:val="21"/>
                <w:szCs w:val="21"/>
                <w:u w:val="none"/>
                <w:lang w:val="en-US" w:eastAsia="zh-CN" w:bidi="ar"/>
              </w:rPr>
            </w:pPr>
            <w:r>
              <w:rPr>
                <w:rFonts w:hint="default" w:ascii="Times New Roman" w:hAnsi="Times New Roman" w:eastAsia="仿宋" w:cs="Times New Roman"/>
                <w:i w:val="0"/>
                <w:color w:val="000000"/>
                <w:kern w:val="0"/>
                <w:sz w:val="21"/>
                <w:szCs w:val="21"/>
                <w:u w:val="none"/>
                <w:lang w:val="en-US" w:eastAsia="zh-CN" w:bidi="ar"/>
              </w:rPr>
              <w:t>臭气浓度</w:t>
            </w:r>
          </w:p>
        </w:tc>
        <w:tc>
          <w:tcPr>
            <w:tcW w:w="1363" w:type="dxa"/>
            <w:tcBorders>
              <w:top w:val="single" w:color="000000" w:sz="12" w:space="0"/>
              <w:tl2br w:val="nil"/>
              <w:tr2bl w:val="nil"/>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center"/>
              <w:rPr>
                <w:rFonts w:hint="default" w:ascii="Times New Roman" w:hAnsi="Times New Roman" w:eastAsia="仿宋" w:cs="Times New Roman"/>
                <w:i w:val="0"/>
                <w:color w:val="000000"/>
                <w:kern w:val="0"/>
                <w:sz w:val="21"/>
                <w:szCs w:val="21"/>
                <w:u w:val="none"/>
                <w:lang w:val="en-US" w:eastAsia="zh-CN" w:bidi="ar"/>
              </w:rPr>
            </w:pPr>
            <w:r>
              <w:rPr>
                <w:rFonts w:hint="default" w:ascii="Times New Roman" w:hAnsi="Times New Roman" w:eastAsia="仿宋" w:cs="Times New Roman"/>
                <w:i w:val="0"/>
                <w:color w:val="000000"/>
                <w:kern w:val="0"/>
                <w:sz w:val="21"/>
                <w:szCs w:val="21"/>
                <w:u w:val="none"/>
                <w:lang w:val="en-US" w:eastAsia="zh-CN" w:bidi="ar"/>
              </w:rPr>
              <w:t>是</w:t>
            </w:r>
          </w:p>
        </w:tc>
        <w:tc>
          <w:tcPr>
            <w:tcW w:w="1151" w:type="dxa"/>
            <w:tcBorders>
              <w:top w:val="single" w:color="000000" w:sz="12" w:space="0"/>
              <w:tl2br w:val="nil"/>
              <w:tr2bl w:val="nil"/>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center"/>
              <w:rPr>
                <w:rFonts w:hint="default" w:ascii="Times New Roman" w:hAnsi="Times New Roman" w:eastAsia="仿宋" w:cs="Times New Roman"/>
                <w:i w:val="0"/>
                <w:color w:val="000000"/>
                <w:kern w:val="0"/>
                <w:sz w:val="21"/>
                <w:szCs w:val="21"/>
                <w:u w:val="none"/>
                <w:lang w:val="en-US" w:eastAsia="zh-CN" w:bidi="ar"/>
              </w:rPr>
            </w:pPr>
            <w:r>
              <w:rPr>
                <w:rFonts w:hint="default" w:ascii="Times New Roman" w:hAnsi="Times New Roman" w:eastAsia="仿宋" w:cs="Times New Roman"/>
                <w:i w:val="0"/>
                <w:color w:val="000000"/>
                <w:kern w:val="0"/>
                <w:sz w:val="21"/>
                <w:szCs w:val="21"/>
                <w:u w:val="none"/>
                <w:lang w:val="en-US" w:eastAsia="zh-CN" w:bidi="ar"/>
              </w:rPr>
              <w:t>0.3</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348" w:type="dxa"/>
            <w:vMerge w:val="continue"/>
            <w:tcBorders>
              <w:tl2br w:val="nil"/>
              <w:tr2bl w:val="nil"/>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center"/>
              <w:rPr>
                <w:rFonts w:hint="default" w:ascii="Times New Roman" w:hAnsi="Times New Roman" w:eastAsia="仿宋" w:cs="Times New Roman"/>
                <w:i w:val="0"/>
                <w:color w:val="000000"/>
                <w:kern w:val="0"/>
                <w:sz w:val="21"/>
                <w:szCs w:val="21"/>
                <w:u w:val="none"/>
                <w:lang w:val="en-US" w:eastAsia="zh-CN" w:bidi="ar"/>
              </w:rPr>
            </w:pPr>
          </w:p>
        </w:tc>
        <w:tc>
          <w:tcPr>
            <w:tcW w:w="819" w:type="dxa"/>
            <w:vMerge w:val="continue"/>
            <w:tcBorders>
              <w:tl2br w:val="nil"/>
              <w:tr2bl w:val="nil"/>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center"/>
              <w:rPr>
                <w:rFonts w:hint="default" w:ascii="Times New Roman" w:hAnsi="Times New Roman" w:eastAsia="仿宋" w:cs="Times New Roman"/>
                <w:i w:val="0"/>
                <w:color w:val="000000"/>
                <w:kern w:val="0"/>
                <w:sz w:val="21"/>
                <w:szCs w:val="21"/>
                <w:u w:val="none"/>
                <w:lang w:val="en-US" w:eastAsia="zh-CN" w:bidi="ar"/>
              </w:rPr>
            </w:pPr>
          </w:p>
        </w:tc>
        <w:tc>
          <w:tcPr>
            <w:tcW w:w="1566" w:type="dxa"/>
            <w:vMerge w:val="continue"/>
            <w:tcBorders>
              <w:tl2br w:val="nil"/>
              <w:tr2bl w:val="nil"/>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center"/>
              <w:rPr>
                <w:rFonts w:hint="default" w:ascii="Times New Roman" w:hAnsi="Times New Roman" w:eastAsia="仿宋" w:cs="Times New Roman"/>
                <w:i w:val="0"/>
                <w:color w:val="000000"/>
                <w:kern w:val="0"/>
                <w:sz w:val="21"/>
                <w:szCs w:val="21"/>
                <w:u w:val="none"/>
                <w:lang w:val="en-US" w:eastAsia="zh-CN" w:bidi="ar"/>
              </w:rPr>
            </w:pPr>
          </w:p>
        </w:tc>
        <w:tc>
          <w:tcPr>
            <w:tcW w:w="1093" w:type="dxa"/>
            <w:vMerge w:val="continue"/>
            <w:tcBorders>
              <w:tl2br w:val="nil"/>
              <w:tr2bl w:val="nil"/>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center"/>
              <w:rPr>
                <w:rFonts w:hint="default" w:ascii="Times New Roman" w:hAnsi="Times New Roman" w:eastAsia="仿宋" w:cs="Times New Roman"/>
                <w:i w:val="0"/>
                <w:color w:val="000000"/>
                <w:kern w:val="0"/>
                <w:sz w:val="21"/>
                <w:szCs w:val="21"/>
                <w:u w:val="none"/>
                <w:lang w:val="en-US" w:eastAsia="zh-CN" w:bidi="ar"/>
              </w:rPr>
            </w:pPr>
          </w:p>
        </w:tc>
        <w:tc>
          <w:tcPr>
            <w:tcW w:w="1471" w:type="dxa"/>
            <w:tcBorders>
              <w:top w:val="nil"/>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center"/>
              <w:rPr>
                <w:rFonts w:hint="default" w:ascii="Times New Roman" w:hAnsi="Times New Roman" w:eastAsia="仿宋" w:cs="Times New Roman"/>
                <w:i w:val="0"/>
                <w:color w:val="000000"/>
                <w:kern w:val="0"/>
                <w:sz w:val="21"/>
                <w:szCs w:val="21"/>
                <w:u w:val="none"/>
                <w:lang w:val="en-US" w:eastAsia="zh-CN" w:bidi="ar"/>
              </w:rPr>
            </w:pPr>
            <w:r>
              <w:rPr>
                <w:rFonts w:hint="default" w:ascii="Times New Roman" w:hAnsi="Times New Roman" w:eastAsia="仿宋" w:cs="Times New Roman"/>
                <w:i w:val="0"/>
                <w:color w:val="000000"/>
                <w:kern w:val="0"/>
                <w:sz w:val="21"/>
                <w:szCs w:val="21"/>
                <w:u w:val="none"/>
                <w:lang w:val="en-US" w:eastAsia="zh-CN" w:bidi="ar"/>
              </w:rPr>
              <w:t>厂界下风向2</w:t>
            </w:r>
          </w:p>
        </w:tc>
        <w:tc>
          <w:tcPr>
            <w:tcW w:w="960" w:type="dxa"/>
            <w:vMerge w:val="continue"/>
            <w:tcBorders>
              <w:tl2br w:val="nil"/>
              <w:tr2bl w:val="nil"/>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center"/>
              <w:rPr>
                <w:rFonts w:hint="default" w:ascii="Times New Roman" w:hAnsi="Times New Roman" w:eastAsia="仿宋" w:cs="Times New Roman"/>
                <w:i w:val="0"/>
                <w:color w:val="000000"/>
                <w:kern w:val="0"/>
                <w:sz w:val="21"/>
                <w:szCs w:val="21"/>
                <w:u w:val="none"/>
                <w:lang w:val="en-US" w:eastAsia="zh-CN" w:bidi="ar"/>
              </w:rPr>
            </w:pPr>
          </w:p>
        </w:tc>
        <w:tc>
          <w:tcPr>
            <w:tcW w:w="1363" w:type="dxa"/>
            <w:tcBorders>
              <w:tl2br w:val="nil"/>
              <w:tr2bl w:val="nil"/>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center"/>
              <w:rPr>
                <w:rFonts w:hint="default" w:ascii="Times New Roman" w:hAnsi="Times New Roman" w:eastAsia="仿宋" w:cs="Times New Roman"/>
                <w:i w:val="0"/>
                <w:color w:val="000000"/>
                <w:kern w:val="0"/>
                <w:sz w:val="21"/>
                <w:szCs w:val="21"/>
                <w:u w:val="none"/>
                <w:lang w:val="en-US" w:eastAsia="zh-CN" w:bidi="ar"/>
              </w:rPr>
            </w:pPr>
            <w:r>
              <w:rPr>
                <w:rFonts w:hint="default" w:ascii="Times New Roman" w:hAnsi="Times New Roman" w:eastAsia="仿宋" w:cs="Times New Roman"/>
                <w:i w:val="0"/>
                <w:color w:val="000000"/>
                <w:kern w:val="0"/>
                <w:sz w:val="21"/>
                <w:szCs w:val="21"/>
                <w:u w:val="none"/>
                <w:lang w:val="en-US" w:eastAsia="zh-CN" w:bidi="ar"/>
              </w:rPr>
              <w:t>是</w:t>
            </w:r>
          </w:p>
        </w:tc>
        <w:tc>
          <w:tcPr>
            <w:tcW w:w="1151" w:type="dxa"/>
            <w:tcBorders>
              <w:tl2br w:val="nil"/>
              <w:tr2bl w:val="nil"/>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center"/>
              <w:rPr>
                <w:rFonts w:hint="default" w:ascii="Times New Roman" w:hAnsi="Times New Roman" w:eastAsia="仿宋" w:cs="Times New Roman"/>
                <w:i w:val="0"/>
                <w:color w:val="000000"/>
                <w:kern w:val="0"/>
                <w:sz w:val="21"/>
                <w:szCs w:val="21"/>
                <w:u w:val="none"/>
                <w:lang w:val="en-US" w:eastAsia="zh-CN" w:bidi="ar"/>
              </w:rPr>
            </w:pPr>
            <w:r>
              <w:rPr>
                <w:rFonts w:hint="default" w:ascii="Times New Roman" w:hAnsi="Times New Roman" w:eastAsia="仿宋" w:cs="Times New Roman"/>
                <w:i w:val="0"/>
                <w:color w:val="000000"/>
                <w:kern w:val="0"/>
                <w:sz w:val="21"/>
                <w:szCs w:val="21"/>
                <w:u w:val="none"/>
                <w:lang w:val="en-US" w:eastAsia="zh-CN" w:bidi="ar"/>
              </w:rPr>
              <w:t>0.7</w:t>
            </w:r>
          </w:p>
        </w:tc>
      </w:tr>
    </w:tbl>
    <w:p>
      <w:pPr>
        <w:keepNext w:val="0"/>
        <w:keepLines w:val="0"/>
        <w:pageBreakBefore w:val="0"/>
        <w:widowControl w:val="0"/>
        <w:kinsoku/>
        <w:wordWrap/>
        <w:overflowPunct/>
        <w:topLinePunct w:val="0"/>
        <w:autoSpaceDE/>
        <w:autoSpaceDN/>
        <w:bidi w:val="0"/>
        <w:adjustRightInd/>
        <w:snapToGrid/>
        <w:spacing w:after="157" w:afterLines="50" w:line="360" w:lineRule="auto"/>
        <w:ind w:left="0" w:leftChars="0" w:firstLine="0" w:firstLineChars="0"/>
        <w:jc w:val="center"/>
        <w:textAlignment w:val="auto"/>
        <w:rPr>
          <w:rFonts w:hint="default" w:ascii="Times New Roman" w:hAnsi="Times New Roman" w:cs="Times New Roman"/>
          <w:b/>
          <w:bCs/>
          <w:sz w:val="21"/>
          <w:szCs w:val="21"/>
          <w:lang w:val="en-US" w:eastAsia="zh-CN"/>
        </w:rPr>
      </w:pPr>
    </w:p>
    <w:p>
      <w:pPr>
        <w:pStyle w:val="3"/>
        <w:bidi w:val="0"/>
        <w:rPr>
          <w:rFonts w:hint="default" w:ascii="Times New Roman" w:hAnsi="Times New Roman" w:eastAsia="黑体" w:cs="Times New Roman"/>
          <w:b w:val="0"/>
          <w:bCs/>
          <w:sz w:val="30"/>
          <w:szCs w:val="30"/>
          <w:lang w:val="en-US" w:eastAsia="zh-CN"/>
        </w:rPr>
      </w:pPr>
      <w:bookmarkStart w:id="48" w:name="_Toc2003"/>
      <w:bookmarkStart w:id="49" w:name="_Toc29080"/>
      <w:r>
        <w:rPr>
          <w:rFonts w:hint="default" w:ascii="Times New Roman" w:hAnsi="Times New Roman" w:eastAsia="黑体" w:cs="Times New Roman"/>
          <w:b w:val="0"/>
          <w:bCs/>
          <w:sz w:val="30"/>
          <w:szCs w:val="30"/>
          <w:lang w:val="en-US" w:eastAsia="zh-CN"/>
        </w:rPr>
        <w:t>2.5周边环境执法监测情况</w:t>
      </w:r>
      <w:bookmarkEnd w:id="48"/>
      <w:bookmarkEnd w:id="49"/>
    </w:p>
    <w:p>
      <w:pPr>
        <w:ind w:firstLine="56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周边环境执法监测数据，包括土壤、环境空气和地下水，吉林省全年执法监测企业共计36家，</w:t>
      </w:r>
      <w:r>
        <w:rPr>
          <w:rFonts w:hint="eastAsia" w:ascii="Times New Roman" w:hAnsi="Times New Roman" w:cs="Times New Roman"/>
          <w:color w:val="000000" w:themeColor="text1"/>
          <w:lang w:val="en-US" w:eastAsia="zh-CN"/>
          <w14:textFill>
            <w14:solidFill>
              <w14:schemeClr w14:val="tx1"/>
            </w14:solidFill>
          </w14:textFill>
        </w:rPr>
        <w:t>总体</w:t>
      </w:r>
      <w:r>
        <w:rPr>
          <w:rFonts w:hint="default" w:ascii="Times New Roman" w:hAnsi="Times New Roman" w:cs="Times New Roman"/>
          <w:color w:val="000000" w:themeColor="text1"/>
          <w:lang w:val="en-US" w:eastAsia="zh-CN"/>
          <w14:textFill>
            <w14:solidFill>
              <w14:schemeClr w14:val="tx1"/>
            </w14:solidFill>
          </w14:textFill>
        </w:rPr>
        <w:t>达标率为100%，</w:t>
      </w:r>
      <w:r>
        <w:rPr>
          <w:rFonts w:hint="default" w:ascii="Times New Roman" w:hAnsi="Times New Roman" w:cs="Times New Roman"/>
          <w:color w:val="000000" w:themeColor="text1"/>
          <w:lang w:eastAsia="zh-CN"/>
          <w14:textFill>
            <w14:solidFill>
              <w14:schemeClr w14:val="tx1"/>
            </w14:solidFill>
          </w14:textFill>
        </w:rPr>
        <w:t>详见</w:t>
      </w:r>
      <w:r>
        <w:rPr>
          <w:rFonts w:hint="default" w:ascii="Times New Roman" w:hAnsi="Times New Roman" w:cs="Times New Roman"/>
          <w:color w:val="000000" w:themeColor="text1"/>
          <w14:textFill>
            <w14:solidFill>
              <w14:schemeClr w14:val="tx1"/>
            </w14:solidFill>
          </w14:textFill>
        </w:rPr>
        <w:t>表2-</w:t>
      </w:r>
      <w:r>
        <w:rPr>
          <w:rFonts w:hint="default" w:ascii="Times New Roman" w:hAnsi="Times New Roman" w:cs="Times New Roman"/>
          <w:color w:val="000000" w:themeColor="text1"/>
          <w:lang w:val="en-US" w:eastAsia="zh-CN"/>
          <w14:textFill>
            <w14:solidFill>
              <w14:schemeClr w14:val="tx1"/>
            </w14:solidFill>
          </w14:textFill>
        </w:rPr>
        <w:t>17</w:t>
      </w:r>
      <w:r>
        <w:rPr>
          <w:rFonts w:hint="default" w:ascii="Times New Roman" w:hAnsi="Times New Roman" w:cs="Times New Roman"/>
          <w:color w:val="000000" w:themeColor="text1"/>
          <w14:textFill>
            <w14:solidFill>
              <w14:schemeClr w14:val="tx1"/>
            </w14:solidFill>
          </w14:textFill>
        </w:rPr>
        <w:t>。</w:t>
      </w:r>
    </w:p>
    <w:p>
      <w:pPr>
        <w:bidi w:val="0"/>
        <w:jc w:val="center"/>
        <w:rPr>
          <w:rFonts w:hint="default" w:ascii="Times New Roman" w:hAnsi="Times New Roman" w:eastAsia="黑体"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4"/>
          <w:szCs w:val="24"/>
          <w:lang w:val="en-US" w:eastAsia="zh-CN"/>
          <w14:textFill>
            <w14:solidFill>
              <w14:schemeClr w14:val="tx1"/>
            </w14:solidFill>
          </w14:textFill>
        </w:rPr>
        <w:t>表2-17   2023年吉林省各市（州）周边环境执法监测情况</w:t>
      </w:r>
    </w:p>
    <w:tbl>
      <w:tblPr>
        <w:tblStyle w:val="11"/>
        <w:tblW w:w="9004"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02"/>
        <w:gridCol w:w="4502"/>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482" w:firstLineChars="200"/>
              <w:jc w:val="center"/>
              <w:textAlignment w:val="auto"/>
              <w:rPr>
                <w:rFonts w:hint="default" w:ascii="Times New Roman" w:hAnsi="Times New Roman" w:eastAsia="黑体" w:cs="Times New Roman"/>
                <w:color w:val="auto"/>
                <w:sz w:val="24"/>
                <w:szCs w:val="24"/>
                <w:vertAlign w:val="baseline"/>
              </w:rPr>
            </w:pPr>
            <w:r>
              <w:rPr>
                <w:rFonts w:hint="default" w:ascii="Times New Roman" w:hAnsi="Times New Roman" w:eastAsia="黑体" w:cs="Times New Roman"/>
                <w:b/>
                <w:color w:val="auto"/>
                <w:sz w:val="24"/>
                <w:szCs w:val="24"/>
              </w:rPr>
              <w:t>地区名称</w:t>
            </w:r>
          </w:p>
        </w:tc>
        <w:tc>
          <w:tcPr>
            <w:tcW w:w="4502"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482" w:firstLineChars="200"/>
              <w:jc w:val="center"/>
              <w:textAlignment w:val="auto"/>
              <w:rPr>
                <w:rFonts w:hint="default" w:ascii="Times New Roman" w:hAnsi="Times New Roman" w:eastAsia="黑体" w:cs="Times New Roman"/>
                <w:color w:val="auto"/>
                <w:sz w:val="24"/>
                <w:szCs w:val="24"/>
                <w:vertAlign w:val="baseline"/>
              </w:rPr>
            </w:pPr>
            <w:r>
              <w:rPr>
                <w:rFonts w:hint="default" w:ascii="Times New Roman" w:hAnsi="Times New Roman" w:eastAsia="黑体" w:cs="Times New Roman"/>
                <w:b/>
                <w:color w:val="auto"/>
                <w:sz w:val="24"/>
                <w:szCs w:val="24"/>
                <w:lang w:val="en-US" w:eastAsia="zh-CN"/>
              </w:rPr>
              <w:t>周边环境执法监测（家）</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default" w:ascii="Times New Roman" w:hAnsi="Times New Roman" w:eastAsia="仿宋" w:cs="Times New Roman"/>
                <w:color w:val="auto"/>
                <w:sz w:val="21"/>
                <w:szCs w:val="21"/>
                <w:vertAlign w:val="baseline"/>
              </w:rPr>
            </w:pPr>
            <w:r>
              <w:rPr>
                <w:rFonts w:hint="default" w:ascii="Times New Roman" w:hAnsi="Times New Roman" w:eastAsia="仿宋" w:cs="Times New Roman"/>
                <w:color w:val="auto"/>
                <w:sz w:val="21"/>
                <w:szCs w:val="21"/>
              </w:rPr>
              <w:t>吉林省</w:t>
            </w:r>
          </w:p>
        </w:tc>
        <w:tc>
          <w:tcPr>
            <w:tcW w:w="4502" w:type="dxa"/>
            <w:tcBorders>
              <w:top w:val="single" w:color="auto" w:sz="12"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仿宋" w:cs="Times New Roman"/>
                <w:color w:val="auto"/>
                <w:sz w:val="21"/>
                <w:szCs w:val="21"/>
                <w:vertAlign w:val="baseline"/>
                <w:lang w:val="en-US"/>
              </w:rPr>
            </w:pPr>
            <w:r>
              <w:rPr>
                <w:rFonts w:hint="default" w:ascii="Times New Roman" w:hAnsi="Times New Roman" w:eastAsia="仿宋" w:cs="Times New Roman"/>
                <w:color w:val="auto"/>
                <w:sz w:val="21"/>
                <w:szCs w:val="21"/>
                <w:vertAlign w:val="baseline"/>
                <w:lang w:val="en-US" w:eastAsia="zh-CN"/>
              </w:rPr>
              <w:t>36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20" w:firstLineChars="200"/>
              <w:jc w:val="center"/>
              <w:rPr>
                <w:rFonts w:hint="default" w:ascii="Times New Roman" w:hAnsi="Times New Roman" w:eastAsia="仿宋" w:cs="Times New Roman"/>
                <w:color w:val="auto"/>
                <w:sz w:val="21"/>
                <w:szCs w:val="21"/>
                <w:vertAlign w:val="baseline"/>
              </w:rPr>
            </w:pPr>
            <w:r>
              <w:rPr>
                <w:rFonts w:hint="default" w:ascii="Times New Roman" w:hAnsi="Times New Roman" w:eastAsia="仿宋" w:cs="Times New Roman"/>
                <w:color w:val="auto"/>
                <w:sz w:val="21"/>
                <w:szCs w:val="21"/>
              </w:rPr>
              <w:t>长春市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仿宋" w:cs="Times New Roman"/>
                <w:color w:val="auto"/>
                <w:sz w:val="21"/>
                <w:szCs w:val="21"/>
                <w:vertAlign w:val="baseline"/>
                <w:lang w:val="en-US" w:eastAsia="zh-CN"/>
              </w:rPr>
            </w:pPr>
            <w:r>
              <w:rPr>
                <w:rFonts w:hint="default" w:ascii="Times New Roman" w:hAnsi="Times New Roman" w:eastAsia="仿宋" w:cs="Times New Roman"/>
                <w:color w:val="auto"/>
                <w:sz w:val="21"/>
                <w:szCs w:val="21"/>
                <w:vertAlign w:val="baseline"/>
                <w:lang w:val="en-US" w:eastAsia="zh-CN"/>
              </w:rPr>
              <w:t>10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20" w:firstLineChars="200"/>
              <w:jc w:val="center"/>
              <w:rPr>
                <w:rFonts w:hint="default" w:ascii="Times New Roman" w:hAnsi="Times New Roman" w:eastAsia="仿宋" w:cs="Times New Roman"/>
                <w:color w:val="auto"/>
                <w:sz w:val="21"/>
                <w:szCs w:val="21"/>
                <w:vertAlign w:val="baseline"/>
              </w:rPr>
            </w:pPr>
            <w:r>
              <w:rPr>
                <w:rFonts w:hint="default" w:ascii="Times New Roman" w:hAnsi="Times New Roman" w:eastAsia="仿宋" w:cs="Times New Roman"/>
                <w:color w:val="auto"/>
                <w:sz w:val="21"/>
                <w:szCs w:val="21"/>
              </w:rPr>
              <w:t>吉林市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仿宋" w:cs="Times New Roman"/>
                <w:color w:val="auto"/>
                <w:sz w:val="21"/>
                <w:szCs w:val="21"/>
                <w:vertAlign w:val="baseline"/>
                <w:lang w:val="en-US" w:eastAsia="zh-CN"/>
              </w:rPr>
            </w:pPr>
            <w:r>
              <w:rPr>
                <w:rFonts w:hint="default" w:ascii="Times New Roman" w:hAnsi="Times New Roman" w:eastAsia="仿宋" w:cs="Times New Roman"/>
                <w:color w:val="auto"/>
                <w:sz w:val="21"/>
                <w:szCs w:val="21"/>
                <w:vertAlign w:val="baseline"/>
                <w:lang w:val="en-US" w:eastAsia="zh-CN"/>
              </w:rPr>
              <w:t>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20" w:firstLineChars="200"/>
              <w:jc w:val="center"/>
              <w:rPr>
                <w:rFonts w:hint="default" w:ascii="Times New Roman" w:hAnsi="Times New Roman" w:eastAsia="仿宋" w:cs="Times New Roman"/>
                <w:color w:val="auto"/>
                <w:sz w:val="21"/>
                <w:szCs w:val="21"/>
                <w:vertAlign w:val="baseline"/>
              </w:rPr>
            </w:pPr>
            <w:r>
              <w:rPr>
                <w:rFonts w:hint="default" w:ascii="Times New Roman" w:hAnsi="Times New Roman" w:eastAsia="仿宋" w:cs="Times New Roman"/>
                <w:color w:val="auto"/>
                <w:sz w:val="21"/>
                <w:szCs w:val="21"/>
              </w:rPr>
              <w:t>四平市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仿宋" w:cs="Times New Roman"/>
                <w:color w:val="auto"/>
                <w:sz w:val="21"/>
                <w:szCs w:val="21"/>
                <w:vertAlign w:val="baseline"/>
                <w:lang w:val="en-US" w:eastAsia="zh-CN"/>
              </w:rPr>
            </w:pPr>
            <w:r>
              <w:rPr>
                <w:rFonts w:hint="default" w:ascii="Times New Roman" w:hAnsi="Times New Roman" w:eastAsia="仿宋" w:cs="Times New Roman"/>
                <w:color w:val="auto"/>
                <w:sz w:val="21"/>
                <w:szCs w:val="21"/>
                <w:vertAlign w:val="baseline"/>
                <w:lang w:val="en-US" w:eastAsia="zh-CN"/>
              </w:rPr>
              <w:t>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20" w:firstLineChars="200"/>
              <w:jc w:val="center"/>
              <w:rPr>
                <w:rFonts w:hint="default" w:ascii="Times New Roman" w:hAnsi="Times New Roman" w:eastAsia="仿宋" w:cs="Times New Roman"/>
                <w:color w:val="auto"/>
                <w:sz w:val="21"/>
                <w:szCs w:val="21"/>
                <w:vertAlign w:val="baseline"/>
              </w:rPr>
            </w:pPr>
            <w:r>
              <w:rPr>
                <w:rFonts w:hint="default" w:ascii="Times New Roman" w:hAnsi="Times New Roman" w:eastAsia="仿宋" w:cs="Times New Roman"/>
                <w:color w:val="auto"/>
                <w:sz w:val="21"/>
                <w:szCs w:val="21"/>
              </w:rPr>
              <w:t>辽源市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仿宋" w:cs="Times New Roman"/>
                <w:color w:val="auto"/>
                <w:sz w:val="21"/>
                <w:szCs w:val="21"/>
                <w:vertAlign w:val="baseline"/>
                <w:lang w:val="en-US"/>
              </w:rPr>
            </w:pPr>
            <w:r>
              <w:rPr>
                <w:rFonts w:hint="default" w:ascii="Times New Roman" w:hAnsi="Times New Roman" w:eastAsia="仿宋" w:cs="Times New Roman"/>
                <w:color w:val="auto"/>
                <w:sz w:val="21"/>
                <w:szCs w:val="21"/>
                <w:vertAlign w:val="baseline"/>
                <w:lang w:val="en-US"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20" w:firstLineChars="200"/>
              <w:jc w:val="center"/>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通化市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仿宋" w:cs="Times New Roman"/>
                <w:color w:val="auto"/>
                <w:sz w:val="21"/>
                <w:szCs w:val="21"/>
                <w:vertAlign w:val="baseline"/>
                <w:lang w:val="en-US" w:eastAsia="zh-CN"/>
              </w:rPr>
            </w:pPr>
            <w:r>
              <w:rPr>
                <w:rFonts w:hint="default" w:ascii="Times New Roman" w:hAnsi="Times New Roman" w:eastAsia="仿宋" w:cs="Times New Roman"/>
                <w:color w:val="auto"/>
                <w:sz w:val="21"/>
                <w:szCs w:val="21"/>
                <w:vertAlign w:val="baseline"/>
                <w:lang w:val="en-US" w:eastAsia="zh-CN"/>
              </w:rPr>
              <w:t>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20" w:firstLineChars="200"/>
              <w:jc w:val="center"/>
              <w:rPr>
                <w:rFonts w:hint="default" w:ascii="Times New Roman" w:hAnsi="Times New Roman" w:eastAsia="仿宋" w:cs="Times New Roman"/>
                <w:color w:val="auto"/>
                <w:kern w:val="2"/>
                <w:sz w:val="21"/>
                <w:szCs w:val="21"/>
                <w:vertAlign w:val="baseline"/>
                <w:lang w:val="en-US" w:eastAsia="zh-CN" w:bidi="ar-SA"/>
              </w:rPr>
            </w:pPr>
            <w:r>
              <w:rPr>
                <w:rFonts w:hint="default" w:ascii="Times New Roman" w:hAnsi="Times New Roman" w:eastAsia="仿宋" w:cs="Times New Roman"/>
                <w:color w:val="auto"/>
                <w:sz w:val="21"/>
                <w:szCs w:val="21"/>
              </w:rPr>
              <w:t>白山市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仿宋" w:cs="Times New Roman"/>
                <w:color w:val="auto"/>
                <w:sz w:val="21"/>
                <w:szCs w:val="21"/>
                <w:vertAlign w:val="baseline"/>
                <w:lang w:val="en-US" w:eastAsia="zh-CN"/>
              </w:rPr>
            </w:pPr>
            <w:r>
              <w:rPr>
                <w:rFonts w:hint="default" w:ascii="Times New Roman" w:hAnsi="Times New Roman" w:eastAsia="仿宋" w:cs="Times New Roman"/>
                <w:color w:val="auto"/>
                <w:sz w:val="21"/>
                <w:szCs w:val="21"/>
                <w:vertAlign w:val="baseline"/>
                <w:lang w:val="en-US"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20" w:firstLineChars="200"/>
              <w:jc w:val="center"/>
              <w:rPr>
                <w:rFonts w:hint="default" w:ascii="Times New Roman" w:hAnsi="Times New Roman" w:eastAsia="仿宋" w:cs="Times New Roman"/>
                <w:color w:val="auto"/>
                <w:kern w:val="2"/>
                <w:sz w:val="21"/>
                <w:szCs w:val="21"/>
                <w:vertAlign w:val="baseline"/>
                <w:lang w:val="en-US" w:eastAsia="zh-CN" w:bidi="ar-SA"/>
              </w:rPr>
            </w:pPr>
            <w:r>
              <w:rPr>
                <w:rFonts w:hint="default" w:ascii="Times New Roman" w:hAnsi="Times New Roman" w:eastAsia="仿宋" w:cs="Times New Roman"/>
                <w:color w:val="auto"/>
                <w:sz w:val="21"/>
                <w:szCs w:val="21"/>
              </w:rPr>
              <w:t>松原市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仿宋" w:cs="Times New Roman"/>
                <w:color w:val="auto"/>
                <w:sz w:val="21"/>
                <w:szCs w:val="21"/>
                <w:vertAlign w:val="baseline"/>
                <w:lang w:val="en-US" w:eastAsia="zh-CN"/>
              </w:rPr>
            </w:pPr>
            <w:r>
              <w:rPr>
                <w:rFonts w:hint="default" w:ascii="Times New Roman" w:hAnsi="Times New Roman" w:eastAsia="仿宋" w:cs="Times New Roman"/>
                <w:color w:val="auto"/>
                <w:sz w:val="21"/>
                <w:szCs w:val="21"/>
                <w:vertAlign w:val="baseline"/>
                <w:lang w:val="en-US"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20" w:firstLineChars="200"/>
              <w:jc w:val="center"/>
              <w:rPr>
                <w:rFonts w:hint="default" w:ascii="Times New Roman" w:hAnsi="Times New Roman" w:eastAsia="仿宋" w:cs="Times New Roman"/>
                <w:color w:val="auto"/>
                <w:kern w:val="2"/>
                <w:sz w:val="21"/>
                <w:szCs w:val="21"/>
                <w:vertAlign w:val="baseline"/>
                <w:lang w:val="en-US" w:eastAsia="zh-CN" w:bidi="ar-SA"/>
              </w:rPr>
            </w:pPr>
            <w:r>
              <w:rPr>
                <w:rFonts w:hint="default" w:ascii="Times New Roman" w:hAnsi="Times New Roman" w:eastAsia="仿宋" w:cs="Times New Roman"/>
                <w:color w:val="auto"/>
                <w:sz w:val="21"/>
                <w:szCs w:val="21"/>
              </w:rPr>
              <w:t>白城市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仿宋" w:cs="Times New Roman"/>
                <w:color w:val="auto"/>
                <w:sz w:val="21"/>
                <w:szCs w:val="21"/>
                <w:vertAlign w:val="baseline"/>
                <w:lang w:val="en-US" w:eastAsia="zh-CN"/>
              </w:rPr>
            </w:pPr>
            <w:r>
              <w:rPr>
                <w:rFonts w:hint="default" w:ascii="Times New Roman" w:hAnsi="Times New Roman" w:eastAsia="仿宋" w:cs="Times New Roman"/>
                <w:color w:val="auto"/>
                <w:sz w:val="21"/>
                <w:szCs w:val="21"/>
                <w:vertAlign w:val="baseline"/>
                <w:lang w:val="en-US" w:eastAsia="zh-CN"/>
              </w:rPr>
              <w:t>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20" w:firstLineChars="200"/>
              <w:jc w:val="center"/>
              <w:rPr>
                <w:rFonts w:hint="default" w:ascii="Times New Roman" w:hAnsi="Times New Roman" w:eastAsia="仿宋" w:cs="Times New Roman"/>
                <w:color w:val="auto"/>
                <w:kern w:val="2"/>
                <w:sz w:val="21"/>
                <w:szCs w:val="21"/>
                <w:vertAlign w:val="baseline"/>
                <w:lang w:val="en-US" w:eastAsia="zh-CN" w:bidi="ar-SA"/>
              </w:rPr>
            </w:pPr>
            <w:r>
              <w:rPr>
                <w:rFonts w:hint="default" w:ascii="Times New Roman" w:hAnsi="Times New Roman" w:eastAsia="仿宋" w:cs="Times New Roman"/>
                <w:color w:val="auto"/>
                <w:sz w:val="21"/>
                <w:szCs w:val="21"/>
              </w:rPr>
              <w:t>延边州</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仿宋" w:cs="Times New Roman"/>
                <w:color w:val="auto"/>
                <w:sz w:val="21"/>
                <w:szCs w:val="21"/>
                <w:vertAlign w:val="baseline"/>
                <w:lang w:val="en-US" w:eastAsia="zh-CN"/>
              </w:rPr>
            </w:pPr>
            <w:r>
              <w:rPr>
                <w:rFonts w:hint="default" w:ascii="Times New Roman" w:hAnsi="Times New Roman" w:eastAsia="仿宋" w:cs="Times New Roman"/>
                <w:color w:val="auto"/>
                <w:sz w:val="21"/>
                <w:szCs w:val="21"/>
                <w:vertAlign w:val="baseline"/>
                <w:lang w:val="en-US" w:eastAsia="zh-CN"/>
              </w:rPr>
              <w:t>16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20" w:firstLineChars="200"/>
              <w:jc w:val="center"/>
              <w:rPr>
                <w:rFonts w:hint="default" w:ascii="Times New Roman" w:hAnsi="Times New Roman" w:eastAsia="仿宋" w:cs="Times New Roman"/>
                <w:color w:val="auto"/>
                <w:kern w:val="2"/>
                <w:sz w:val="21"/>
                <w:szCs w:val="21"/>
                <w:vertAlign w:val="baseline"/>
                <w:lang w:val="en-US" w:eastAsia="zh-CN" w:bidi="ar-SA"/>
              </w:rPr>
            </w:pPr>
            <w:r>
              <w:rPr>
                <w:rFonts w:hint="default" w:ascii="Times New Roman" w:hAnsi="Times New Roman" w:eastAsia="仿宋" w:cs="Times New Roman"/>
                <w:color w:val="auto"/>
                <w:sz w:val="21"/>
                <w:szCs w:val="21"/>
                <w:lang w:eastAsia="zh-CN"/>
              </w:rPr>
              <w:t>长白山管委会</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仿宋" w:cs="Times New Roman"/>
                <w:color w:val="auto"/>
                <w:sz w:val="21"/>
                <w:szCs w:val="21"/>
                <w:vertAlign w:val="baseline"/>
                <w:lang w:val="en-US" w:eastAsia="zh-CN"/>
              </w:rPr>
            </w:pPr>
            <w:r>
              <w:rPr>
                <w:rFonts w:hint="default" w:ascii="Times New Roman" w:hAnsi="Times New Roman" w:eastAsia="仿宋" w:cs="Times New Roman"/>
                <w:color w:val="auto"/>
                <w:sz w:val="21"/>
                <w:szCs w:val="21"/>
                <w:vertAlign w:val="baseline"/>
                <w:lang w:val="en-US" w:eastAsia="zh-CN"/>
              </w:rPr>
              <w:t>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20" w:firstLineChars="200"/>
              <w:jc w:val="center"/>
              <w:rPr>
                <w:rFonts w:hint="default" w:ascii="Times New Roman" w:hAnsi="Times New Roman" w:eastAsia="仿宋" w:cs="Times New Roman"/>
                <w:color w:val="auto"/>
                <w:sz w:val="21"/>
                <w:szCs w:val="21"/>
                <w:vertAlign w:val="baseline"/>
                <w:lang w:val="en-US" w:eastAsia="zh-CN"/>
              </w:rPr>
            </w:pPr>
            <w:r>
              <w:rPr>
                <w:rFonts w:hint="default" w:ascii="Times New Roman" w:hAnsi="Times New Roman" w:eastAsia="仿宋" w:cs="Times New Roman"/>
                <w:color w:val="auto"/>
                <w:sz w:val="21"/>
                <w:szCs w:val="21"/>
                <w:vertAlign w:val="baseline"/>
                <w:lang w:val="en-US" w:eastAsia="zh-CN"/>
              </w:rPr>
              <w:t>梅河口市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仿宋" w:cs="Times New Roman"/>
                <w:color w:val="auto"/>
                <w:sz w:val="21"/>
                <w:szCs w:val="21"/>
                <w:vertAlign w:val="baseline"/>
                <w:lang w:val="en-US" w:eastAsia="zh-CN"/>
              </w:rPr>
            </w:pPr>
            <w:r>
              <w:rPr>
                <w:rFonts w:hint="default" w:ascii="Times New Roman" w:hAnsi="Times New Roman" w:eastAsia="仿宋" w:cs="Times New Roman"/>
                <w:color w:val="auto"/>
                <w:sz w:val="21"/>
                <w:szCs w:val="21"/>
                <w:vertAlign w:val="baseline"/>
                <w:lang w:val="en-US" w:eastAsia="zh-CN"/>
              </w:rPr>
              <w:t>——</w:t>
            </w:r>
          </w:p>
        </w:tc>
      </w:tr>
    </w:tbl>
    <w:p>
      <w:pPr>
        <w:keepNext w:val="0"/>
        <w:keepLines w:val="0"/>
        <w:pageBreakBefore w:val="0"/>
        <w:widowControl w:val="0"/>
        <w:kinsoku/>
        <w:wordWrap/>
        <w:overflowPunct/>
        <w:topLinePunct w:val="0"/>
        <w:autoSpaceDE/>
        <w:autoSpaceDN/>
        <w:bidi w:val="0"/>
        <w:adjustRightInd/>
        <w:snapToGrid/>
        <w:spacing w:after="157" w:afterLines="50" w:line="360" w:lineRule="auto"/>
        <w:ind w:left="0" w:leftChars="0" w:firstLine="0" w:firstLineChars="0"/>
        <w:jc w:val="center"/>
        <w:textAlignment w:val="auto"/>
        <w:rPr>
          <w:rFonts w:hint="default" w:ascii="Times New Roman" w:hAnsi="Times New Roman" w:cs="Times New Roman"/>
          <w:b/>
          <w:bCs/>
          <w:color w:val="000000" w:themeColor="text1"/>
          <w:sz w:val="21"/>
          <w:szCs w:val="21"/>
          <w:lang w:val="en-US" w:eastAsia="zh-CN"/>
          <w14:textFill>
            <w14:solidFill>
              <w14:schemeClr w14:val="tx1"/>
            </w14:solidFill>
          </w14:textFill>
        </w:rPr>
      </w:pPr>
    </w:p>
    <w:p>
      <w:pPr>
        <w:pStyle w:val="3"/>
        <w:bidi w:val="0"/>
        <w:rPr>
          <w:rFonts w:hint="default" w:ascii="Times New Roman" w:hAnsi="Times New Roman" w:eastAsia="黑体" w:cs="Times New Roman"/>
          <w:b w:val="0"/>
          <w:bCs/>
          <w:sz w:val="30"/>
          <w:szCs w:val="30"/>
          <w:lang w:val="en-US" w:eastAsia="zh-CN"/>
        </w:rPr>
      </w:pPr>
      <w:bookmarkStart w:id="50" w:name="_Toc15311"/>
      <w:bookmarkStart w:id="51" w:name="_Toc5950"/>
      <w:r>
        <w:rPr>
          <w:rFonts w:hint="default" w:ascii="Times New Roman" w:hAnsi="Times New Roman" w:eastAsia="黑体" w:cs="Times New Roman"/>
          <w:b w:val="0"/>
          <w:bCs/>
          <w:sz w:val="30"/>
          <w:szCs w:val="30"/>
          <w:lang w:val="en-US" w:eastAsia="zh-CN"/>
        </w:rPr>
        <w:t>2.6厂界噪声执法监测情况</w:t>
      </w:r>
      <w:bookmarkEnd w:id="50"/>
      <w:bookmarkEnd w:id="51"/>
    </w:p>
    <w:p>
      <w:pPr>
        <w:bidi w:val="0"/>
        <w:ind w:firstLine="560" w:firstLineChars="20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厂界噪声执法监测数据统计中，吉林省全年执法监测企业共计19家，</w:t>
      </w:r>
      <w:r>
        <w:rPr>
          <w:rFonts w:hint="eastAsia" w:ascii="Times New Roman" w:hAnsi="Times New Roman" w:cs="Times New Roman"/>
          <w:color w:val="000000" w:themeColor="text1"/>
          <w:lang w:val="en-US" w:eastAsia="zh-CN"/>
          <w14:textFill>
            <w14:solidFill>
              <w14:schemeClr w14:val="tx1"/>
            </w14:solidFill>
          </w14:textFill>
        </w:rPr>
        <w:t>总体</w:t>
      </w:r>
      <w:r>
        <w:rPr>
          <w:rFonts w:hint="default" w:ascii="Times New Roman" w:hAnsi="Times New Roman" w:cs="Times New Roman"/>
          <w:color w:val="000000" w:themeColor="text1"/>
          <w:lang w:val="en-US" w:eastAsia="zh-CN"/>
          <w14:textFill>
            <w14:solidFill>
              <w14:schemeClr w14:val="tx1"/>
            </w14:solidFill>
          </w14:textFill>
        </w:rPr>
        <w:t>达标率为100%，详见表2-18。</w:t>
      </w:r>
    </w:p>
    <w:p>
      <w:pPr>
        <w:bidi w:val="0"/>
        <w:jc w:val="center"/>
        <w:rPr>
          <w:rFonts w:hint="default" w:ascii="Times New Roman" w:hAnsi="Times New Roman" w:eastAsia="黑体" w:cs="Times New Roman"/>
          <w:b w:val="0"/>
          <w:bCs w:val="0"/>
          <w:color w:val="000000" w:themeColor="text1"/>
          <w:sz w:val="24"/>
          <w:szCs w:val="24"/>
          <w:lang w:val="en-US" w:eastAsia="zh-CN"/>
          <w14:textFill>
            <w14:solidFill>
              <w14:schemeClr w14:val="tx1"/>
            </w14:solidFill>
          </w14:textFill>
        </w:rPr>
      </w:pPr>
    </w:p>
    <w:p>
      <w:pPr>
        <w:bidi w:val="0"/>
        <w:jc w:val="center"/>
        <w:rPr>
          <w:rFonts w:hint="default" w:ascii="Times New Roman" w:hAnsi="Times New Roman" w:eastAsia="黑体" w:cs="Times New Roman"/>
          <w:b w:val="0"/>
          <w:bCs w:val="0"/>
          <w:color w:val="000000" w:themeColor="text1"/>
          <w:sz w:val="24"/>
          <w:szCs w:val="24"/>
          <w:lang w:val="en-US" w:eastAsia="zh-CN"/>
          <w14:textFill>
            <w14:solidFill>
              <w14:schemeClr w14:val="tx1"/>
            </w14:solidFill>
          </w14:textFill>
        </w:rPr>
      </w:pPr>
    </w:p>
    <w:p>
      <w:pPr>
        <w:bidi w:val="0"/>
        <w:jc w:val="center"/>
        <w:rPr>
          <w:rFonts w:hint="default" w:ascii="Times New Roman" w:hAnsi="Times New Roman" w:eastAsia="黑体" w:cs="Times New Roman"/>
          <w:b w:val="0"/>
          <w:bCs w:val="0"/>
          <w:color w:val="000000" w:themeColor="text1"/>
          <w:sz w:val="24"/>
          <w:szCs w:val="24"/>
          <w:lang w:val="en-US" w:eastAsia="zh-CN"/>
          <w14:textFill>
            <w14:solidFill>
              <w14:schemeClr w14:val="tx1"/>
            </w14:solidFill>
          </w14:textFill>
        </w:rPr>
      </w:pPr>
    </w:p>
    <w:p>
      <w:pPr>
        <w:bidi w:val="0"/>
        <w:jc w:val="center"/>
        <w:rPr>
          <w:rFonts w:hint="default" w:ascii="Times New Roman" w:hAnsi="Times New Roman" w:eastAsia="黑体" w:cs="Times New Roman"/>
          <w:b w:val="0"/>
          <w:bCs w:val="0"/>
          <w:color w:val="000000" w:themeColor="text1"/>
          <w:sz w:val="24"/>
          <w:szCs w:val="24"/>
          <w:lang w:val="en-US" w:eastAsia="zh-CN"/>
          <w14:textFill>
            <w14:solidFill>
              <w14:schemeClr w14:val="tx1"/>
            </w14:solidFill>
          </w14:textFill>
        </w:rPr>
      </w:pPr>
    </w:p>
    <w:p>
      <w:pPr>
        <w:bidi w:val="0"/>
        <w:jc w:val="center"/>
        <w:rPr>
          <w:rFonts w:hint="default" w:ascii="Times New Roman" w:hAnsi="Times New Roman" w:eastAsia="黑体"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4"/>
          <w:szCs w:val="24"/>
          <w:lang w:val="en-US" w:eastAsia="zh-CN"/>
          <w14:textFill>
            <w14:solidFill>
              <w14:schemeClr w14:val="tx1"/>
            </w14:solidFill>
          </w14:textFill>
        </w:rPr>
        <w:t>表2-18   2022年吉林省各市（州）厂界噪声执法监测情况</w:t>
      </w:r>
    </w:p>
    <w:tbl>
      <w:tblPr>
        <w:tblStyle w:val="11"/>
        <w:tblW w:w="9004"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02"/>
        <w:gridCol w:w="4502"/>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center"/>
              <w:textAlignment w:val="auto"/>
              <w:rPr>
                <w:rFonts w:hint="default" w:ascii="Times New Roman" w:hAnsi="Times New Roman" w:eastAsia="黑体" w:cs="Times New Roman"/>
                <w:b w:val="0"/>
                <w:bCs/>
                <w:color w:val="auto"/>
                <w:vertAlign w:val="baseline"/>
              </w:rPr>
            </w:pPr>
            <w:r>
              <w:rPr>
                <w:rFonts w:hint="default" w:ascii="Times New Roman" w:hAnsi="Times New Roman" w:eastAsia="黑体" w:cs="Times New Roman"/>
                <w:b w:val="0"/>
                <w:bCs/>
                <w:color w:val="auto"/>
                <w:sz w:val="24"/>
                <w:szCs w:val="24"/>
              </w:rPr>
              <w:t>地区名称</w:t>
            </w:r>
          </w:p>
        </w:tc>
        <w:tc>
          <w:tcPr>
            <w:tcW w:w="4502"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center"/>
              <w:textAlignment w:val="auto"/>
              <w:rPr>
                <w:rFonts w:hint="default" w:ascii="Times New Roman" w:hAnsi="Times New Roman" w:eastAsia="黑体" w:cs="Times New Roman"/>
                <w:b w:val="0"/>
                <w:bCs/>
                <w:color w:val="auto"/>
                <w:vertAlign w:val="baseline"/>
              </w:rPr>
            </w:pPr>
            <w:r>
              <w:rPr>
                <w:rFonts w:hint="default" w:ascii="Times New Roman" w:hAnsi="Times New Roman" w:eastAsia="黑体" w:cs="Times New Roman"/>
                <w:b w:val="0"/>
                <w:bCs/>
                <w:color w:val="auto"/>
                <w:sz w:val="21"/>
                <w:szCs w:val="21"/>
                <w:lang w:val="en-US" w:eastAsia="zh-CN"/>
              </w:rPr>
              <w:t>厂界噪声执法监测</w:t>
            </w:r>
            <w:r>
              <w:rPr>
                <w:rFonts w:hint="default" w:ascii="Times New Roman" w:hAnsi="Times New Roman" w:eastAsia="黑体" w:cs="Times New Roman"/>
                <w:b w:val="0"/>
                <w:bCs/>
                <w:color w:val="auto"/>
                <w:sz w:val="24"/>
                <w:szCs w:val="24"/>
                <w:lang w:val="en-US" w:eastAsia="zh-CN"/>
              </w:rPr>
              <w:t>（家）</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default" w:ascii="Times New Roman" w:hAnsi="Times New Roman" w:cs="Times New Roman"/>
                <w:color w:val="auto"/>
                <w:sz w:val="21"/>
                <w:szCs w:val="21"/>
                <w:vertAlign w:val="baseline"/>
              </w:rPr>
            </w:pPr>
            <w:r>
              <w:rPr>
                <w:rFonts w:hint="default" w:ascii="Times New Roman" w:hAnsi="Times New Roman" w:cs="Times New Roman"/>
                <w:color w:val="auto"/>
                <w:sz w:val="21"/>
                <w:szCs w:val="21"/>
              </w:rPr>
              <w:t>吉林省</w:t>
            </w:r>
          </w:p>
        </w:tc>
        <w:tc>
          <w:tcPr>
            <w:tcW w:w="4502" w:type="dxa"/>
            <w:tcBorders>
              <w:top w:val="single" w:color="auto" w:sz="12"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cs="Times New Roman"/>
                <w:color w:val="auto"/>
                <w:sz w:val="21"/>
                <w:szCs w:val="21"/>
                <w:vertAlign w:val="baseline"/>
                <w:lang w:val="en-US"/>
              </w:rPr>
            </w:pPr>
            <w:r>
              <w:rPr>
                <w:rFonts w:hint="default" w:ascii="Times New Roman" w:hAnsi="Times New Roman" w:cs="Times New Roman"/>
                <w:color w:val="auto"/>
                <w:sz w:val="21"/>
                <w:szCs w:val="21"/>
                <w:vertAlign w:val="baseline"/>
                <w:lang w:val="en-US" w:eastAsia="zh-CN"/>
              </w:rPr>
              <w:t>19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20" w:firstLineChars="200"/>
              <w:jc w:val="center"/>
              <w:rPr>
                <w:rFonts w:hint="default" w:ascii="Times New Roman" w:hAnsi="Times New Roman" w:cs="Times New Roman"/>
                <w:color w:val="auto"/>
                <w:sz w:val="21"/>
                <w:szCs w:val="21"/>
                <w:vertAlign w:val="baseline"/>
              </w:rPr>
            </w:pPr>
            <w:r>
              <w:rPr>
                <w:rFonts w:hint="default" w:ascii="Times New Roman" w:hAnsi="Times New Roman" w:cs="Times New Roman"/>
                <w:color w:val="auto"/>
                <w:sz w:val="21"/>
                <w:szCs w:val="21"/>
              </w:rPr>
              <w:t>长春市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仿宋_GB2312"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20" w:firstLineChars="200"/>
              <w:jc w:val="center"/>
              <w:rPr>
                <w:rFonts w:hint="default" w:ascii="Times New Roman" w:hAnsi="Times New Roman" w:cs="Times New Roman"/>
                <w:color w:val="auto"/>
                <w:sz w:val="21"/>
                <w:szCs w:val="21"/>
                <w:vertAlign w:val="baseline"/>
              </w:rPr>
            </w:pPr>
            <w:r>
              <w:rPr>
                <w:rFonts w:hint="default" w:ascii="Times New Roman" w:hAnsi="Times New Roman" w:cs="Times New Roman"/>
                <w:color w:val="auto"/>
                <w:sz w:val="21"/>
                <w:szCs w:val="21"/>
              </w:rPr>
              <w:t>吉林市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color w:val="auto"/>
                <w:sz w:val="21"/>
                <w:szCs w:val="21"/>
                <w:vertAlign w:val="baseline"/>
                <w:lang w:val="en-US"/>
              </w:rPr>
            </w:pPr>
            <w:r>
              <w:rPr>
                <w:rFonts w:hint="default" w:ascii="Times New Roman" w:hAnsi="Times New Roman" w:cs="Times New Roman"/>
                <w:color w:val="auto"/>
                <w:sz w:val="21"/>
                <w:szCs w:val="21"/>
                <w:vertAlign w:val="baseline"/>
                <w:lang w:val="en-US"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20" w:firstLineChars="200"/>
              <w:jc w:val="center"/>
              <w:rPr>
                <w:rFonts w:hint="default" w:ascii="Times New Roman" w:hAnsi="Times New Roman" w:cs="Times New Roman"/>
                <w:color w:val="auto"/>
                <w:sz w:val="21"/>
                <w:szCs w:val="21"/>
                <w:vertAlign w:val="baseline"/>
              </w:rPr>
            </w:pPr>
            <w:r>
              <w:rPr>
                <w:rFonts w:hint="default" w:ascii="Times New Roman" w:hAnsi="Times New Roman" w:cs="Times New Roman"/>
                <w:color w:val="auto"/>
                <w:sz w:val="21"/>
                <w:szCs w:val="21"/>
              </w:rPr>
              <w:t>四平市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仿宋_GB2312"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20" w:firstLineChars="200"/>
              <w:jc w:val="center"/>
              <w:rPr>
                <w:rFonts w:hint="default" w:ascii="Times New Roman" w:hAnsi="Times New Roman" w:cs="Times New Roman"/>
                <w:color w:val="auto"/>
                <w:sz w:val="21"/>
                <w:szCs w:val="21"/>
                <w:vertAlign w:val="baseline"/>
              </w:rPr>
            </w:pPr>
            <w:r>
              <w:rPr>
                <w:rFonts w:hint="default" w:ascii="Times New Roman" w:hAnsi="Times New Roman" w:cs="Times New Roman"/>
                <w:color w:val="auto"/>
                <w:sz w:val="21"/>
                <w:szCs w:val="21"/>
              </w:rPr>
              <w:t>辽源市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color w:val="auto"/>
                <w:sz w:val="21"/>
                <w:szCs w:val="21"/>
                <w:vertAlign w:val="baseline"/>
                <w:lang w:val="en-US"/>
              </w:rPr>
            </w:pPr>
            <w:r>
              <w:rPr>
                <w:rFonts w:hint="default" w:ascii="Times New Roman" w:hAnsi="Times New Roman" w:cs="Times New Roman"/>
                <w:color w:val="auto"/>
                <w:sz w:val="21"/>
                <w:szCs w:val="21"/>
                <w:vertAlign w:val="baseline"/>
                <w:lang w:val="en-US"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20" w:firstLineChars="20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通化市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20" w:firstLineChars="200"/>
              <w:jc w:val="center"/>
              <w:rPr>
                <w:rFonts w:hint="default" w:ascii="Times New Roman" w:hAnsi="Times New Roman" w:eastAsia="仿宋_GB2312" w:cs="Times New Roman"/>
                <w:color w:val="auto"/>
                <w:kern w:val="2"/>
                <w:sz w:val="21"/>
                <w:szCs w:val="21"/>
                <w:vertAlign w:val="baseline"/>
                <w:lang w:val="en-US" w:eastAsia="zh-CN" w:bidi="ar-SA"/>
              </w:rPr>
            </w:pPr>
            <w:r>
              <w:rPr>
                <w:rFonts w:hint="default" w:ascii="Times New Roman" w:hAnsi="Times New Roman" w:cs="Times New Roman"/>
                <w:color w:val="auto"/>
                <w:sz w:val="21"/>
                <w:szCs w:val="21"/>
              </w:rPr>
              <w:t>白山市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仿宋_GB2312"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20" w:firstLineChars="200"/>
              <w:jc w:val="center"/>
              <w:rPr>
                <w:rFonts w:hint="default" w:ascii="Times New Roman" w:hAnsi="Times New Roman" w:eastAsia="仿宋_GB2312" w:cs="Times New Roman"/>
                <w:color w:val="auto"/>
                <w:kern w:val="2"/>
                <w:sz w:val="21"/>
                <w:szCs w:val="21"/>
                <w:vertAlign w:val="baseline"/>
                <w:lang w:val="en-US" w:eastAsia="zh-CN" w:bidi="ar-SA"/>
              </w:rPr>
            </w:pPr>
            <w:r>
              <w:rPr>
                <w:rFonts w:hint="default" w:ascii="Times New Roman" w:hAnsi="Times New Roman" w:cs="Times New Roman"/>
                <w:color w:val="auto"/>
                <w:sz w:val="21"/>
                <w:szCs w:val="21"/>
              </w:rPr>
              <w:t>松原市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仿宋_GB2312"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20" w:firstLineChars="200"/>
              <w:jc w:val="center"/>
              <w:rPr>
                <w:rFonts w:hint="default" w:ascii="Times New Roman" w:hAnsi="Times New Roman" w:eastAsia="仿宋_GB2312" w:cs="Times New Roman"/>
                <w:color w:val="auto"/>
                <w:kern w:val="2"/>
                <w:sz w:val="21"/>
                <w:szCs w:val="21"/>
                <w:vertAlign w:val="baseline"/>
                <w:lang w:val="en-US" w:eastAsia="zh-CN" w:bidi="ar-SA"/>
              </w:rPr>
            </w:pPr>
            <w:r>
              <w:rPr>
                <w:rFonts w:hint="default" w:ascii="Times New Roman" w:hAnsi="Times New Roman" w:cs="Times New Roman"/>
                <w:color w:val="auto"/>
                <w:sz w:val="21"/>
                <w:szCs w:val="21"/>
              </w:rPr>
              <w:t>白城市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仿宋_GB2312"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20" w:firstLineChars="200"/>
              <w:jc w:val="center"/>
              <w:rPr>
                <w:rFonts w:hint="default" w:ascii="Times New Roman" w:hAnsi="Times New Roman" w:eastAsia="仿宋_GB2312" w:cs="Times New Roman"/>
                <w:color w:val="auto"/>
                <w:kern w:val="2"/>
                <w:sz w:val="21"/>
                <w:szCs w:val="21"/>
                <w:vertAlign w:val="baseline"/>
                <w:lang w:val="en-US" w:eastAsia="zh-CN" w:bidi="ar-SA"/>
              </w:rPr>
            </w:pPr>
            <w:r>
              <w:rPr>
                <w:rFonts w:hint="default" w:ascii="Times New Roman" w:hAnsi="Times New Roman" w:cs="Times New Roman"/>
                <w:color w:val="auto"/>
                <w:sz w:val="21"/>
                <w:szCs w:val="21"/>
              </w:rPr>
              <w:t>延边州</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仿宋_GB2312"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20" w:firstLineChars="200"/>
              <w:jc w:val="center"/>
              <w:rPr>
                <w:rFonts w:hint="default" w:ascii="Times New Roman" w:hAnsi="Times New Roman" w:eastAsia="仿宋_GB2312" w:cs="Times New Roman"/>
                <w:color w:val="auto"/>
                <w:kern w:val="2"/>
                <w:sz w:val="21"/>
                <w:szCs w:val="21"/>
                <w:vertAlign w:val="baseline"/>
                <w:lang w:val="en-US" w:eastAsia="zh-CN" w:bidi="ar-SA"/>
              </w:rPr>
            </w:pPr>
            <w:r>
              <w:rPr>
                <w:rFonts w:hint="default" w:ascii="Times New Roman" w:hAnsi="Times New Roman" w:cs="Times New Roman"/>
                <w:color w:val="auto"/>
                <w:sz w:val="21"/>
                <w:szCs w:val="21"/>
                <w:lang w:eastAsia="zh-CN"/>
              </w:rPr>
              <w:t>长白山管委会</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仿宋_GB2312"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spacing w:line="320" w:lineRule="exact"/>
              <w:ind w:firstLine="420" w:firstLineChars="200"/>
              <w:jc w:val="center"/>
              <w:rPr>
                <w:rFonts w:hint="default" w:ascii="Times New Roman" w:hAnsi="Times New Roman" w:eastAsia="仿宋_GB2312"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梅河口市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仿宋_GB2312"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w:t>
            </w:r>
          </w:p>
        </w:tc>
      </w:tr>
    </w:tbl>
    <w:p>
      <w:pPr>
        <w:pStyle w:val="3"/>
        <w:bidi w:val="0"/>
        <w:rPr>
          <w:rFonts w:hint="default" w:ascii="Times New Roman" w:hAnsi="Times New Roman" w:eastAsia="黑体" w:cs="Times New Roman"/>
          <w:b w:val="0"/>
          <w:bCs/>
          <w:sz w:val="36"/>
          <w:szCs w:val="36"/>
          <w:lang w:val="en-US" w:eastAsia="zh-CN"/>
        </w:rPr>
      </w:pPr>
      <w:bookmarkStart w:id="52" w:name="_Toc14765"/>
      <w:r>
        <w:rPr>
          <w:rFonts w:hint="default" w:ascii="Times New Roman" w:hAnsi="Times New Roman" w:eastAsia="黑体" w:cs="Times New Roman"/>
          <w:b w:val="0"/>
          <w:bCs/>
          <w:sz w:val="36"/>
          <w:szCs w:val="36"/>
          <w:lang w:val="en-US" w:eastAsia="zh-CN"/>
        </w:rPr>
        <w:t>3 自动监测设备比对监测</w:t>
      </w:r>
      <w:bookmarkEnd w:id="52"/>
    </w:p>
    <w:p>
      <w:pPr>
        <w:pStyle w:val="3"/>
        <w:bidi w:val="0"/>
        <w:rPr>
          <w:rFonts w:hint="default" w:ascii="Times New Roman" w:hAnsi="Times New Roman" w:eastAsia="黑体" w:cs="Times New Roman"/>
          <w:b w:val="0"/>
          <w:bCs/>
          <w:sz w:val="30"/>
          <w:szCs w:val="30"/>
          <w:lang w:val="en-US" w:eastAsia="zh-CN"/>
        </w:rPr>
      </w:pPr>
      <w:bookmarkStart w:id="53" w:name="_Toc1171"/>
      <w:bookmarkStart w:id="54" w:name="_Toc6270"/>
      <w:r>
        <w:rPr>
          <w:rFonts w:hint="default" w:ascii="Times New Roman" w:hAnsi="Times New Roman" w:eastAsia="黑体" w:cs="Times New Roman"/>
          <w:b w:val="0"/>
          <w:bCs/>
          <w:sz w:val="30"/>
          <w:szCs w:val="30"/>
          <w:lang w:val="en-US" w:eastAsia="zh-CN"/>
        </w:rPr>
        <w:t>3.1废水自动监测设备比对监测分析</w:t>
      </w:r>
      <w:bookmarkEnd w:id="53"/>
      <w:bookmarkEnd w:id="54"/>
    </w:p>
    <w:p>
      <w:pPr>
        <w:keepNext w:val="0"/>
        <w:keepLines w:val="0"/>
        <w:pageBreakBefore w:val="0"/>
        <w:widowControl w:val="0"/>
        <w:kinsoku/>
        <w:wordWrap/>
        <w:overflowPunct/>
        <w:topLinePunct w:val="0"/>
        <w:autoSpaceDE/>
        <w:autoSpaceDN/>
        <w:bidi w:val="0"/>
        <w:adjustRightInd/>
        <w:snapToGrid/>
        <w:spacing w:after="157" w:afterLines="50" w:line="360" w:lineRule="auto"/>
        <w:ind w:left="0" w:leftChars="0" w:firstLine="560" w:firstLineChars="200"/>
        <w:jc w:val="left"/>
        <w:textAlignment w:val="auto"/>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在进行污染物排放</w:t>
      </w:r>
      <w:r>
        <w:rPr>
          <w:rFonts w:hint="default" w:ascii="Times New Roman" w:hAnsi="Times New Roman" w:cs="Times New Roman"/>
          <w:color w:val="000000" w:themeColor="text1"/>
          <w:lang w:eastAsia="zh-CN"/>
          <w14:textFill>
            <w14:solidFill>
              <w14:schemeClr w14:val="tx1"/>
            </w14:solidFill>
          </w14:textFill>
        </w:rPr>
        <w:t>执法</w:t>
      </w:r>
      <w:r>
        <w:rPr>
          <w:rFonts w:hint="default" w:ascii="Times New Roman" w:hAnsi="Times New Roman" w:cs="Times New Roman"/>
          <w:color w:val="000000" w:themeColor="text1"/>
          <w14:textFill>
            <w14:solidFill>
              <w14:schemeClr w14:val="tx1"/>
            </w14:solidFill>
          </w14:textFill>
        </w:rPr>
        <w:t>监测同时，对于安装污染源自动监测设备的</w:t>
      </w:r>
      <w:r>
        <w:rPr>
          <w:rFonts w:hint="default" w:ascii="Times New Roman" w:hAnsi="Times New Roman" w:cs="Times New Roman"/>
          <w:color w:val="000000" w:themeColor="text1"/>
          <w:lang w:eastAsia="zh-CN"/>
          <w14:textFill>
            <w14:solidFill>
              <w14:schemeClr w14:val="tx1"/>
            </w14:solidFill>
          </w14:textFill>
        </w:rPr>
        <w:t>企业</w:t>
      </w:r>
      <w:r>
        <w:rPr>
          <w:rFonts w:hint="default" w:ascii="Times New Roman" w:hAnsi="Times New Roman" w:cs="Times New Roman"/>
          <w:color w:val="000000" w:themeColor="text1"/>
          <w14:textFill>
            <w14:solidFill>
              <w14:schemeClr w14:val="tx1"/>
            </w14:solidFill>
          </w14:textFill>
        </w:rPr>
        <w:t>开展比对监测。吉林省</w:t>
      </w:r>
      <w:r>
        <w:rPr>
          <w:rFonts w:hint="default" w:ascii="Times New Roman" w:hAnsi="Times New Roman" w:cs="Times New Roman"/>
          <w:color w:val="000000" w:themeColor="text1"/>
          <w:lang w:eastAsia="zh-CN"/>
          <w14:textFill>
            <w14:solidFill>
              <w14:schemeClr w14:val="tx1"/>
            </w14:solidFill>
          </w14:textFill>
        </w:rPr>
        <w:t>全</w:t>
      </w:r>
      <w:r>
        <w:rPr>
          <w:rFonts w:hint="default" w:ascii="Times New Roman" w:hAnsi="Times New Roman" w:cs="Times New Roman"/>
          <w:color w:val="000000" w:themeColor="text1"/>
          <w14:textFill>
            <w14:solidFill>
              <w14:schemeClr w14:val="tx1"/>
            </w14:solidFill>
          </w14:textFill>
        </w:rPr>
        <w:t>年废</w:t>
      </w:r>
      <w:r>
        <w:rPr>
          <w:rFonts w:hint="default" w:ascii="Times New Roman" w:hAnsi="Times New Roman" w:cs="Times New Roman"/>
          <w:color w:val="000000" w:themeColor="text1"/>
          <w:lang w:eastAsia="zh-CN"/>
          <w14:textFill>
            <w14:solidFill>
              <w14:schemeClr w14:val="tx1"/>
            </w14:solidFill>
          </w14:textFill>
        </w:rPr>
        <w:t>水</w:t>
      </w:r>
      <w:r>
        <w:rPr>
          <w:rFonts w:hint="default" w:ascii="Times New Roman" w:hAnsi="Times New Roman" w:cs="Times New Roman"/>
          <w:color w:val="000000" w:themeColor="text1"/>
          <w14:textFill>
            <w14:solidFill>
              <w14:schemeClr w14:val="tx1"/>
            </w14:solidFill>
          </w14:textFill>
        </w:rPr>
        <w:t>比对数据共计</w:t>
      </w:r>
      <w:r>
        <w:rPr>
          <w:rFonts w:hint="default" w:ascii="Times New Roman" w:hAnsi="Times New Roman" w:cs="Times New Roman"/>
          <w:color w:val="000000" w:themeColor="text1"/>
          <w:lang w:val="en-US" w:eastAsia="zh-CN"/>
          <w14:textFill>
            <w14:solidFill>
              <w14:schemeClr w14:val="tx1"/>
            </w14:solidFill>
          </w14:textFill>
        </w:rPr>
        <w:t>49</w:t>
      </w:r>
      <w:r>
        <w:rPr>
          <w:rFonts w:hint="default" w:ascii="Times New Roman" w:hAnsi="Times New Roman" w:cs="Times New Roman"/>
          <w:color w:val="000000" w:themeColor="text1"/>
          <w14:textFill>
            <w14:solidFill>
              <w14:schemeClr w14:val="tx1"/>
            </w14:solidFill>
          </w14:textFill>
        </w:rPr>
        <w:t>家</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全部</w:t>
      </w:r>
      <w:r>
        <w:rPr>
          <w:rFonts w:hint="default" w:ascii="Times New Roman" w:hAnsi="Times New Roman" w:cs="Times New Roman"/>
          <w:color w:val="000000" w:themeColor="text1"/>
          <w14:textFill>
            <w14:solidFill>
              <w14:schemeClr w14:val="tx1"/>
            </w14:solidFill>
          </w14:textFill>
        </w:rPr>
        <w:t>合格</w:t>
      </w:r>
      <w:r>
        <w:rPr>
          <w:rFonts w:hint="default"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总体</w:t>
      </w:r>
      <w:r>
        <w:rPr>
          <w:rFonts w:hint="default" w:ascii="Times New Roman" w:hAnsi="Times New Roman" w:cs="Times New Roman"/>
          <w:color w:val="000000" w:themeColor="text1"/>
          <w:lang w:val="en-US" w:eastAsia="zh-CN"/>
          <w14:textFill>
            <w14:solidFill>
              <w14:schemeClr w14:val="tx1"/>
            </w14:solidFill>
          </w14:textFill>
        </w:rPr>
        <w:t>达标率为100%，详见表3-1。</w:t>
      </w:r>
    </w:p>
    <w:p>
      <w:pPr>
        <w:bidi w:val="0"/>
        <w:jc w:val="center"/>
        <w:rPr>
          <w:rFonts w:hint="default" w:ascii="Times New Roman" w:hAnsi="Times New Roman" w:eastAsia="黑体"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4"/>
          <w:szCs w:val="24"/>
          <w:lang w:val="en-US" w:eastAsia="zh-CN"/>
          <w14:textFill>
            <w14:solidFill>
              <w14:schemeClr w14:val="tx1"/>
            </w14:solidFill>
          </w14:textFill>
        </w:rPr>
        <w:t>表3-1   2022年吉林省各市（州）废水自动监测设备比对监测开展情况</w:t>
      </w:r>
    </w:p>
    <w:tbl>
      <w:tblPr>
        <w:tblStyle w:val="11"/>
        <w:tblW w:w="9004"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02"/>
        <w:gridCol w:w="4502"/>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blHeader/>
        </w:trPr>
        <w:tc>
          <w:tcPr>
            <w:tcW w:w="4502"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center"/>
              <w:textAlignment w:val="auto"/>
              <w:rPr>
                <w:rFonts w:hint="default" w:ascii="Times New Roman" w:hAnsi="Times New Roman" w:eastAsia="黑体" w:cs="Times New Roman"/>
                <w:b w:val="0"/>
                <w:bCs/>
                <w:color w:val="auto"/>
                <w:sz w:val="24"/>
                <w:szCs w:val="24"/>
                <w:vertAlign w:val="baseline"/>
              </w:rPr>
            </w:pPr>
            <w:r>
              <w:rPr>
                <w:rFonts w:hint="default" w:ascii="Times New Roman" w:hAnsi="Times New Roman" w:eastAsia="黑体" w:cs="Times New Roman"/>
                <w:b w:val="0"/>
                <w:bCs/>
                <w:color w:val="auto"/>
                <w:sz w:val="24"/>
                <w:szCs w:val="24"/>
              </w:rPr>
              <w:t>地区名称</w:t>
            </w:r>
          </w:p>
        </w:tc>
        <w:tc>
          <w:tcPr>
            <w:tcW w:w="4502"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center"/>
              <w:textAlignment w:val="auto"/>
              <w:rPr>
                <w:rFonts w:hint="default" w:ascii="Times New Roman" w:hAnsi="Times New Roman" w:eastAsia="黑体" w:cs="Times New Roman"/>
                <w:b w:val="0"/>
                <w:bCs/>
                <w:color w:val="auto"/>
                <w:sz w:val="24"/>
                <w:szCs w:val="24"/>
                <w:vertAlign w:val="baseline"/>
              </w:rPr>
            </w:pPr>
            <w:r>
              <w:rPr>
                <w:rFonts w:hint="default" w:ascii="Times New Roman" w:hAnsi="Times New Roman" w:eastAsia="黑体" w:cs="Times New Roman"/>
                <w:b w:val="0"/>
                <w:bCs/>
                <w:color w:val="000000" w:themeColor="text1"/>
                <w:sz w:val="24"/>
                <w:szCs w:val="24"/>
                <w:lang w:val="en-US" w:eastAsia="zh-CN"/>
                <w14:textFill>
                  <w14:solidFill>
                    <w14:schemeClr w14:val="tx1"/>
                  </w14:solidFill>
                </w14:textFill>
              </w:rPr>
              <w:t>废水自动监测设备比对</w:t>
            </w:r>
            <w:r>
              <w:rPr>
                <w:rFonts w:hint="default" w:ascii="Times New Roman" w:hAnsi="Times New Roman" w:eastAsia="黑体" w:cs="Times New Roman"/>
                <w:b w:val="0"/>
                <w:bCs/>
                <w:color w:val="auto"/>
                <w:sz w:val="24"/>
                <w:szCs w:val="24"/>
                <w:lang w:val="en-US" w:eastAsia="zh-CN"/>
              </w:rPr>
              <w:t>（家）</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auto"/>
                <w:sz w:val="21"/>
                <w:szCs w:val="21"/>
                <w:vertAlign w:val="baseline"/>
              </w:rPr>
            </w:pPr>
            <w:r>
              <w:rPr>
                <w:rFonts w:hint="default" w:ascii="Times New Roman" w:hAnsi="Times New Roman" w:eastAsia="仿宋" w:cs="Times New Roman"/>
                <w:color w:val="auto"/>
                <w:sz w:val="21"/>
                <w:szCs w:val="21"/>
              </w:rPr>
              <w:t>吉林省</w:t>
            </w:r>
          </w:p>
        </w:tc>
        <w:tc>
          <w:tcPr>
            <w:tcW w:w="4502" w:type="dxa"/>
            <w:tcBorders>
              <w:top w:val="single" w:color="auto" w:sz="12"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auto"/>
                <w:sz w:val="21"/>
                <w:szCs w:val="21"/>
                <w:vertAlign w:val="baseline"/>
                <w:lang w:val="en-US"/>
              </w:rPr>
            </w:pPr>
            <w:r>
              <w:rPr>
                <w:rFonts w:hint="default" w:ascii="Times New Roman" w:hAnsi="Times New Roman" w:eastAsia="仿宋" w:cs="Times New Roman"/>
                <w:color w:val="auto"/>
                <w:sz w:val="21"/>
                <w:szCs w:val="21"/>
                <w:vertAlign w:val="baseline"/>
                <w:lang w:val="en-US" w:eastAsia="zh-CN"/>
              </w:rPr>
              <w:t>49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auto"/>
                <w:sz w:val="21"/>
                <w:szCs w:val="21"/>
                <w:vertAlign w:val="baseline"/>
              </w:rPr>
            </w:pPr>
            <w:r>
              <w:rPr>
                <w:rFonts w:hint="default" w:ascii="Times New Roman" w:hAnsi="Times New Roman" w:eastAsia="仿宋" w:cs="Times New Roman"/>
                <w:color w:val="auto"/>
                <w:sz w:val="21"/>
                <w:szCs w:val="21"/>
              </w:rPr>
              <w:t>长春市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auto"/>
                <w:sz w:val="21"/>
                <w:szCs w:val="21"/>
                <w:vertAlign w:val="baseline"/>
                <w:lang w:val="en-US" w:eastAsia="zh-CN"/>
              </w:rPr>
            </w:pPr>
            <w:r>
              <w:rPr>
                <w:rFonts w:hint="default" w:ascii="Times New Roman" w:hAnsi="Times New Roman" w:eastAsia="仿宋" w:cs="Times New Roman"/>
                <w:color w:val="auto"/>
                <w:sz w:val="21"/>
                <w:szCs w:val="21"/>
                <w:vertAlign w:val="baseline"/>
                <w:lang w:val="en-US"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auto"/>
                <w:sz w:val="21"/>
                <w:szCs w:val="21"/>
                <w:vertAlign w:val="baseline"/>
              </w:rPr>
            </w:pPr>
            <w:r>
              <w:rPr>
                <w:rFonts w:hint="default" w:ascii="Times New Roman" w:hAnsi="Times New Roman" w:eastAsia="仿宋" w:cs="Times New Roman"/>
                <w:color w:val="auto"/>
                <w:sz w:val="21"/>
                <w:szCs w:val="21"/>
              </w:rPr>
              <w:t>吉林市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auto"/>
                <w:sz w:val="21"/>
                <w:szCs w:val="21"/>
                <w:vertAlign w:val="baseline"/>
                <w:lang w:val="en-US" w:eastAsia="zh-CN"/>
              </w:rPr>
            </w:pPr>
            <w:r>
              <w:rPr>
                <w:rFonts w:hint="default" w:ascii="Times New Roman" w:hAnsi="Times New Roman" w:eastAsia="仿宋" w:cs="Times New Roman"/>
                <w:color w:val="auto"/>
                <w:sz w:val="21"/>
                <w:szCs w:val="21"/>
                <w:vertAlign w:val="baseline"/>
                <w:lang w:val="en-US" w:eastAsia="zh-CN"/>
              </w:rPr>
              <w:t>42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auto"/>
                <w:sz w:val="21"/>
                <w:szCs w:val="21"/>
                <w:vertAlign w:val="baseline"/>
              </w:rPr>
            </w:pPr>
            <w:r>
              <w:rPr>
                <w:rFonts w:hint="default" w:ascii="Times New Roman" w:hAnsi="Times New Roman" w:eastAsia="仿宋" w:cs="Times New Roman"/>
                <w:color w:val="auto"/>
                <w:sz w:val="21"/>
                <w:szCs w:val="21"/>
              </w:rPr>
              <w:t>四平市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auto"/>
                <w:sz w:val="21"/>
                <w:szCs w:val="21"/>
                <w:vertAlign w:val="baseline"/>
                <w:lang w:val="en-US"/>
              </w:rPr>
            </w:pPr>
            <w:r>
              <w:rPr>
                <w:rFonts w:hint="default" w:ascii="Times New Roman" w:hAnsi="Times New Roman" w:eastAsia="仿宋" w:cs="Times New Roman"/>
                <w:color w:val="auto"/>
                <w:sz w:val="21"/>
                <w:szCs w:val="21"/>
                <w:vertAlign w:val="baseline"/>
                <w:lang w:val="en-US"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auto"/>
                <w:sz w:val="21"/>
                <w:szCs w:val="21"/>
                <w:vertAlign w:val="baseline"/>
              </w:rPr>
            </w:pPr>
            <w:r>
              <w:rPr>
                <w:rFonts w:hint="default" w:ascii="Times New Roman" w:hAnsi="Times New Roman" w:eastAsia="仿宋" w:cs="Times New Roman"/>
                <w:color w:val="auto"/>
                <w:sz w:val="21"/>
                <w:szCs w:val="21"/>
              </w:rPr>
              <w:t>辽源市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auto"/>
                <w:sz w:val="21"/>
                <w:szCs w:val="21"/>
                <w:vertAlign w:val="baseline"/>
                <w:lang w:val="en-US"/>
              </w:rPr>
            </w:pPr>
            <w:r>
              <w:rPr>
                <w:rFonts w:hint="default" w:ascii="Times New Roman" w:hAnsi="Times New Roman" w:eastAsia="仿宋" w:cs="Times New Roman"/>
                <w:color w:val="auto"/>
                <w:sz w:val="21"/>
                <w:szCs w:val="21"/>
                <w:vertAlign w:val="baseline"/>
                <w:lang w:val="en-US"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通化市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auto"/>
                <w:sz w:val="21"/>
                <w:szCs w:val="21"/>
                <w:vertAlign w:val="baseline"/>
                <w:lang w:val="en-US" w:eastAsia="zh-CN"/>
              </w:rPr>
            </w:pPr>
            <w:r>
              <w:rPr>
                <w:rFonts w:hint="default" w:ascii="Times New Roman" w:hAnsi="Times New Roman" w:eastAsia="仿宋" w:cs="Times New Roman"/>
                <w:color w:val="auto"/>
                <w:sz w:val="21"/>
                <w:szCs w:val="21"/>
                <w:vertAlign w:val="baseline"/>
                <w:lang w:val="en-US"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auto"/>
                <w:kern w:val="2"/>
                <w:sz w:val="21"/>
                <w:szCs w:val="21"/>
                <w:vertAlign w:val="baseline"/>
                <w:lang w:val="en-US" w:eastAsia="zh-CN" w:bidi="ar-SA"/>
              </w:rPr>
            </w:pPr>
            <w:r>
              <w:rPr>
                <w:rFonts w:hint="default" w:ascii="Times New Roman" w:hAnsi="Times New Roman" w:eastAsia="仿宋" w:cs="Times New Roman"/>
                <w:color w:val="auto"/>
                <w:sz w:val="21"/>
                <w:szCs w:val="21"/>
              </w:rPr>
              <w:t>白山市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auto"/>
                <w:sz w:val="21"/>
                <w:szCs w:val="21"/>
                <w:vertAlign w:val="baseline"/>
                <w:lang w:val="en-US" w:eastAsia="zh-CN"/>
              </w:rPr>
            </w:pPr>
            <w:r>
              <w:rPr>
                <w:rFonts w:hint="default" w:ascii="Times New Roman" w:hAnsi="Times New Roman" w:eastAsia="仿宋" w:cs="Times New Roman"/>
                <w:color w:val="auto"/>
                <w:sz w:val="21"/>
                <w:szCs w:val="21"/>
                <w:vertAlign w:val="baseline"/>
                <w:lang w:val="en-US"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auto"/>
                <w:kern w:val="2"/>
                <w:sz w:val="21"/>
                <w:szCs w:val="21"/>
                <w:vertAlign w:val="baseline"/>
                <w:lang w:val="en-US" w:eastAsia="zh-CN" w:bidi="ar-SA"/>
              </w:rPr>
            </w:pPr>
            <w:r>
              <w:rPr>
                <w:rFonts w:hint="default" w:ascii="Times New Roman" w:hAnsi="Times New Roman" w:eastAsia="仿宋" w:cs="Times New Roman"/>
                <w:color w:val="auto"/>
                <w:sz w:val="21"/>
                <w:szCs w:val="21"/>
              </w:rPr>
              <w:t>松原市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auto"/>
                <w:sz w:val="21"/>
                <w:szCs w:val="21"/>
                <w:vertAlign w:val="baseline"/>
                <w:lang w:val="en-US" w:eastAsia="zh-CN"/>
              </w:rPr>
            </w:pPr>
            <w:r>
              <w:rPr>
                <w:rFonts w:hint="default" w:ascii="Times New Roman" w:hAnsi="Times New Roman" w:eastAsia="仿宋" w:cs="Times New Roman"/>
                <w:color w:val="auto"/>
                <w:sz w:val="21"/>
                <w:szCs w:val="21"/>
                <w:vertAlign w:val="baseline"/>
                <w:lang w:val="en-US"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auto"/>
                <w:kern w:val="2"/>
                <w:sz w:val="21"/>
                <w:szCs w:val="21"/>
                <w:vertAlign w:val="baseline"/>
                <w:lang w:val="en-US" w:eastAsia="zh-CN" w:bidi="ar-SA"/>
              </w:rPr>
            </w:pPr>
            <w:r>
              <w:rPr>
                <w:rFonts w:hint="default" w:ascii="Times New Roman" w:hAnsi="Times New Roman" w:eastAsia="仿宋" w:cs="Times New Roman"/>
                <w:color w:val="auto"/>
                <w:sz w:val="21"/>
                <w:szCs w:val="21"/>
              </w:rPr>
              <w:t>白城市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auto"/>
                <w:sz w:val="21"/>
                <w:szCs w:val="21"/>
                <w:vertAlign w:val="baseline"/>
                <w:lang w:val="en-US" w:eastAsia="zh-CN"/>
              </w:rPr>
            </w:pPr>
            <w:r>
              <w:rPr>
                <w:rFonts w:hint="default" w:ascii="Times New Roman" w:hAnsi="Times New Roman" w:eastAsia="仿宋" w:cs="Times New Roman"/>
                <w:color w:val="auto"/>
                <w:sz w:val="21"/>
                <w:szCs w:val="21"/>
                <w:vertAlign w:val="baseline"/>
                <w:lang w:val="en-US"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auto"/>
                <w:kern w:val="2"/>
                <w:sz w:val="21"/>
                <w:szCs w:val="21"/>
                <w:vertAlign w:val="baseline"/>
                <w:lang w:val="en-US" w:eastAsia="zh-CN" w:bidi="ar-SA"/>
              </w:rPr>
            </w:pPr>
            <w:r>
              <w:rPr>
                <w:rFonts w:hint="default" w:ascii="Times New Roman" w:hAnsi="Times New Roman" w:eastAsia="仿宋" w:cs="Times New Roman"/>
                <w:color w:val="auto"/>
                <w:sz w:val="21"/>
                <w:szCs w:val="21"/>
              </w:rPr>
              <w:t>延边州</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auto"/>
                <w:sz w:val="21"/>
                <w:szCs w:val="21"/>
                <w:vertAlign w:val="baseline"/>
                <w:lang w:val="en-US" w:eastAsia="zh-CN"/>
              </w:rPr>
            </w:pPr>
            <w:r>
              <w:rPr>
                <w:rFonts w:hint="default" w:ascii="Times New Roman" w:hAnsi="Times New Roman" w:eastAsia="仿宋" w:cs="Times New Roman"/>
                <w:color w:val="auto"/>
                <w:sz w:val="21"/>
                <w:szCs w:val="21"/>
                <w:vertAlign w:val="baseline"/>
                <w:lang w:val="en-US" w:eastAsia="zh-CN"/>
              </w:rPr>
              <w:t>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auto"/>
                <w:kern w:val="2"/>
                <w:sz w:val="21"/>
                <w:szCs w:val="21"/>
                <w:vertAlign w:val="baseline"/>
                <w:lang w:val="en-US" w:eastAsia="zh-CN" w:bidi="ar-SA"/>
              </w:rPr>
            </w:pPr>
            <w:r>
              <w:rPr>
                <w:rFonts w:hint="default" w:ascii="Times New Roman" w:hAnsi="Times New Roman" w:eastAsia="仿宋" w:cs="Times New Roman"/>
                <w:color w:val="auto"/>
                <w:sz w:val="21"/>
                <w:szCs w:val="21"/>
                <w:lang w:eastAsia="zh-CN"/>
              </w:rPr>
              <w:t>长白山管委会</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auto"/>
                <w:sz w:val="21"/>
                <w:szCs w:val="21"/>
                <w:vertAlign w:val="baseline"/>
                <w:lang w:val="en-US" w:eastAsia="zh-CN"/>
              </w:rPr>
            </w:pPr>
            <w:r>
              <w:rPr>
                <w:rFonts w:hint="default" w:ascii="Times New Roman" w:hAnsi="Times New Roman" w:eastAsia="仿宋" w:cs="Times New Roman"/>
                <w:color w:val="auto"/>
                <w:sz w:val="21"/>
                <w:szCs w:val="21"/>
                <w:vertAlign w:val="baseline"/>
                <w:lang w:val="en-US"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auto"/>
                <w:sz w:val="21"/>
                <w:szCs w:val="21"/>
                <w:vertAlign w:val="baseline"/>
                <w:lang w:val="en-US" w:eastAsia="zh-CN"/>
              </w:rPr>
            </w:pPr>
            <w:r>
              <w:rPr>
                <w:rFonts w:hint="default" w:ascii="Times New Roman" w:hAnsi="Times New Roman" w:eastAsia="仿宋" w:cs="Times New Roman"/>
                <w:color w:val="auto"/>
                <w:sz w:val="21"/>
                <w:szCs w:val="21"/>
                <w:vertAlign w:val="baseline"/>
                <w:lang w:val="en-US" w:eastAsia="zh-CN"/>
              </w:rPr>
              <w:t>梅河口市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auto"/>
                <w:sz w:val="21"/>
                <w:szCs w:val="21"/>
                <w:vertAlign w:val="baseline"/>
                <w:lang w:val="en-US" w:eastAsia="zh-CN"/>
              </w:rPr>
            </w:pPr>
            <w:r>
              <w:rPr>
                <w:rFonts w:hint="default" w:ascii="Times New Roman" w:hAnsi="Times New Roman" w:eastAsia="仿宋" w:cs="Times New Roman"/>
                <w:color w:val="auto"/>
                <w:sz w:val="21"/>
                <w:szCs w:val="21"/>
                <w:vertAlign w:val="baseline"/>
                <w:lang w:val="en-US" w:eastAsia="zh-CN"/>
              </w:rPr>
              <w:t>——</w:t>
            </w:r>
          </w:p>
        </w:tc>
      </w:tr>
    </w:tbl>
    <w:p>
      <w:pPr>
        <w:pStyle w:val="3"/>
        <w:bidi w:val="0"/>
        <w:rPr>
          <w:rFonts w:hint="default" w:ascii="Times New Roman" w:hAnsi="Times New Roman" w:eastAsia="黑体" w:cs="Times New Roman"/>
          <w:b w:val="0"/>
          <w:bCs/>
          <w:sz w:val="30"/>
          <w:szCs w:val="30"/>
          <w:lang w:val="en-US" w:eastAsia="zh-CN"/>
        </w:rPr>
      </w:pPr>
      <w:bookmarkStart w:id="55" w:name="_Toc26326"/>
      <w:bookmarkStart w:id="56" w:name="_Toc16670"/>
      <w:r>
        <w:rPr>
          <w:rFonts w:hint="default" w:ascii="Times New Roman" w:hAnsi="Times New Roman" w:eastAsia="黑体" w:cs="Times New Roman"/>
          <w:b w:val="0"/>
          <w:bCs/>
          <w:sz w:val="30"/>
          <w:szCs w:val="30"/>
          <w:lang w:val="en-US" w:eastAsia="zh-CN"/>
        </w:rPr>
        <w:t>3.2废气自动监测设备比对监测分析</w:t>
      </w:r>
      <w:bookmarkEnd w:id="55"/>
      <w:bookmarkEnd w:id="56"/>
    </w:p>
    <w:p>
      <w:pPr>
        <w:keepNext w:val="0"/>
        <w:keepLines w:val="0"/>
        <w:pageBreakBefore w:val="0"/>
        <w:widowControl w:val="0"/>
        <w:kinsoku/>
        <w:wordWrap/>
        <w:overflowPunct/>
        <w:topLinePunct w:val="0"/>
        <w:autoSpaceDE/>
        <w:autoSpaceDN/>
        <w:bidi w:val="0"/>
        <w:adjustRightInd/>
        <w:snapToGrid/>
        <w:spacing w:after="157" w:afterLines="50" w:line="360" w:lineRule="auto"/>
        <w:ind w:left="0" w:leftChars="0" w:firstLine="560" w:firstLineChars="200"/>
        <w:jc w:val="left"/>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在进行污染物排放</w:t>
      </w:r>
      <w:r>
        <w:rPr>
          <w:rFonts w:hint="default" w:ascii="Times New Roman" w:hAnsi="Times New Roman" w:cs="Times New Roman"/>
          <w:color w:val="000000" w:themeColor="text1"/>
          <w:lang w:eastAsia="zh-CN"/>
          <w14:textFill>
            <w14:solidFill>
              <w14:schemeClr w14:val="tx1"/>
            </w14:solidFill>
          </w14:textFill>
        </w:rPr>
        <w:t>执法</w:t>
      </w:r>
      <w:r>
        <w:rPr>
          <w:rFonts w:hint="default" w:ascii="Times New Roman" w:hAnsi="Times New Roman" w:cs="Times New Roman"/>
          <w:color w:val="000000" w:themeColor="text1"/>
          <w14:textFill>
            <w14:solidFill>
              <w14:schemeClr w14:val="tx1"/>
            </w14:solidFill>
          </w14:textFill>
        </w:rPr>
        <w:t>监测同时，对于安装污染源自动监测设备的</w:t>
      </w:r>
      <w:r>
        <w:rPr>
          <w:rFonts w:hint="default" w:ascii="Times New Roman" w:hAnsi="Times New Roman" w:cs="Times New Roman"/>
          <w:color w:val="000000" w:themeColor="text1"/>
          <w:lang w:eastAsia="zh-CN"/>
          <w14:textFill>
            <w14:solidFill>
              <w14:schemeClr w14:val="tx1"/>
            </w14:solidFill>
          </w14:textFill>
        </w:rPr>
        <w:t>企业</w:t>
      </w:r>
      <w:r>
        <w:rPr>
          <w:rFonts w:hint="default" w:ascii="Times New Roman" w:hAnsi="Times New Roman" w:cs="Times New Roman"/>
          <w:color w:val="000000" w:themeColor="text1"/>
          <w14:textFill>
            <w14:solidFill>
              <w14:schemeClr w14:val="tx1"/>
            </w14:solidFill>
          </w14:textFill>
        </w:rPr>
        <w:t>开展比对监测。吉林省</w:t>
      </w:r>
      <w:r>
        <w:rPr>
          <w:rFonts w:hint="default" w:ascii="Times New Roman" w:hAnsi="Times New Roman" w:cs="Times New Roman"/>
          <w:color w:val="000000" w:themeColor="text1"/>
          <w:lang w:eastAsia="zh-CN"/>
          <w14:textFill>
            <w14:solidFill>
              <w14:schemeClr w14:val="tx1"/>
            </w14:solidFill>
          </w14:textFill>
        </w:rPr>
        <w:t>全</w:t>
      </w:r>
      <w:r>
        <w:rPr>
          <w:rFonts w:hint="default" w:ascii="Times New Roman" w:hAnsi="Times New Roman" w:cs="Times New Roman"/>
          <w:color w:val="000000" w:themeColor="text1"/>
          <w14:textFill>
            <w14:solidFill>
              <w14:schemeClr w14:val="tx1"/>
            </w14:solidFill>
          </w14:textFill>
        </w:rPr>
        <w:t>年废气比对数据共计</w:t>
      </w:r>
      <w:r>
        <w:rPr>
          <w:rFonts w:hint="default" w:ascii="Times New Roman" w:hAnsi="Times New Roman" w:cs="Times New Roman"/>
          <w:color w:val="000000" w:themeColor="text1"/>
          <w:lang w:val="en-US" w:eastAsia="zh-CN"/>
          <w14:textFill>
            <w14:solidFill>
              <w14:schemeClr w14:val="tx1"/>
            </w14:solidFill>
          </w14:textFill>
        </w:rPr>
        <w:t>32</w:t>
      </w:r>
      <w:r>
        <w:rPr>
          <w:rFonts w:hint="default" w:ascii="Times New Roman" w:hAnsi="Times New Roman" w:cs="Times New Roman"/>
          <w:color w:val="000000" w:themeColor="text1"/>
          <w14:textFill>
            <w14:solidFill>
              <w14:schemeClr w14:val="tx1"/>
            </w14:solidFill>
          </w14:textFill>
        </w:rPr>
        <w:t>家</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全部合格，总体达标率为100%</w:t>
      </w:r>
      <w:r>
        <w:rPr>
          <w:rFonts w:hint="default" w:ascii="Times New Roman" w:hAnsi="Times New Roman" w:cs="Times New Roman"/>
          <w:color w:val="000000" w:themeColor="text1"/>
          <w:lang w:eastAsia="zh-CN"/>
          <w14:textFill>
            <w14:solidFill>
              <w14:schemeClr w14:val="tx1"/>
            </w14:solidFill>
          </w14:textFill>
        </w:rPr>
        <w:t>，详见表</w:t>
      </w:r>
      <w:r>
        <w:rPr>
          <w:rFonts w:hint="default" w:ascii="Times New Roman" w:hAnsi="Times New Roman" w:cs="Times New Roman"/>
          <w:color w:val="000000" w:themeColor="text1"/>
          <w:lang w:val="en-US" w:eastAsia="zh-CN"/>
          <w14:textFill>
            <w14:solidFill>
              <w14:schemeClr w14:val="tx1"/>
            </w14:solidFill>
          </w14:textFill>
        </w:rPr>
        <w:t>3-2。</w:t>
      </w:r>
    </w:p>
    <w:p>
      <w:pPr>
        <w:bidi w:val="0"/>
        <w:jc w:val="center"/>
        <w:rPr>
          <w:rFonts w:hint="default" w:ascii="Times New Roman" w:hAnsi="Times New Roman" w:eastAsia="黑体"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4"/>
          <w:szCs w:val="24"/>
          <w:lang w:val="en-US" w:eastAsia="zh-CN"/>
          <w14:textFill>
            <w14:solidFill>
              <w14:schemeClr w14:val="tx1"/>
            </w14:solidFill>
          </w14:textFill>
        </w:rPr>
        <w:t>表3-2  2022年吉林省各市（州）废气自动监测设备比对监测开展情况</w:t>
      </w:r>
    </w:p>
    <w:tbl>
      <w:tblPr>
        <w:tblStyle w:val="11"/>
        <w:tblW w:w="9004"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02"/>
        <w:gridCol w:w="4502"/>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blHeader/>
        </w:trPr>
        <w:tc>
          <w:tcPr>
            <w:tcW w:w="4502"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center"/>
              <w:textAlignment w:val="auto"/>
              <w:rPr>
                <w:rFonts w:hint="default" w:ascii="Times New Roman" w:hAnsi="Times New Roman" w:eastAsia="黑体" w:cs="Times New Roman"/>
                <w:b w:val="0"/>
                <w:bCs/>
                <w:color w:val="000000" w:themeColor="text1"/>
                <w:sz w:val="24"/>
                <w:szCs w:val="24"/>
                <w:vertAlign w:val="baseline"/>
                <w14:textFill>
                  <w14:solidFill>
                    <w14:schemeClr w14:val="tx1"/>
                  </w14:solidFill>
                </w14:textFill>
              </w:rPr>
            </w:pPr>
            <w:r>
              <w:rPr>
                <w:rFonts w:hint="default" w:ascii="Times New Roman" w:hAnsi="Times New Roman" w:eastAsia="黑体" w:cs="Times New Roman"/>
                <w:b w:val="0"/>
                <w:bCs/>
                <w:color w:val="000000" w:themeColor="text1"/>
                <w:sz w:val="24"/>
                <w:szCs w:val="24"/>
                <w14:textFill>
                  <w14:solidFill>
                    <w14:schemeClr w14:val="tx1"/>
                  </w14:solidFill>
                </w14:textFill>
              </w:rPr>
              <w:t>地区名称</w:t>
            </w:r>
          </w:p>
        </w:tc>
        <w:tc>
          <w:tcPr>
            <w:tcW w:w="4502"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center"/>
              <w:textAlignment w:val="auto"/>
              <w:rPr>
                <w:rFonts w:hint="default" w:ascii="Times New Roman" w:hAnsi="Times New Roman" w:eastAsia="黑体" w:cs="Times New Roman"/>
                <w:b w:val="0"/>
                <w:bCs/>
                <w:color w:val="000000" w:themeColor="text1"/>
                <w:sz w:val="24"/>
                <w:szCs w:val="24"/>
                <w:vertAlign w:val="baseline"/>
                <w14:textFill>
                  <w14:solidFill>
                    <w14:schemeClr w14:val="tx1"/>
                  </w14:solidFill>
                </w14:textFill>
              </w:rPr>
            </w:pPr>
            <w:r>
              <w:rPr>
                <w:rFonts w:hint="default" w:ascii="Times New Roman" w:hAnsi="Times New Roman" w:eastAsia="黑体" w:cs="Times New Roman"/>
                <w:b w:val="0"/>
                <w:bCs/>
                <w:color w:val="000000" w:themeColor="text1"/>
                <w:sz w:val="24"/>
                <w:szCs w:val="24"/>
                <w:lang w:val="en-US" w:eastAsia="zh-CN"/>
                <w14:textFill>
                  <w14:solidFill>
                    <w14:schemeClr w14:val="tx1"/>
                  </w14:solidFill>
                </w14:textFill>
              </w:rPr>
              <w:t>废气自动监测设备比对（家）</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000000" w:themeColor="text1"/>
                <w:sz w:val="21"/>
                <w:szCs w:val="21"/>
                <w:vertAlign w:val="baseline"/>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吉林省</w:t>
            </w:r>
          </w:p>
        </w:tc>
        <w:tc>
          <w:tcPr>
            <w:tcW w:w="4502" w:type="dxa"/>
            <w:tcBorders>
              <w:top w:val="single" w:color="auto" w:sz="12"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000000" w:themeColor="text1"/>
                <w:sz w:val="21"/>
                <w:szCs w:val="21"/>
                <w:vertAlign w:val="baseline"/>
                <w:lang w:val="en-US"/>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32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000000" w:themeColor="text1"/>
                <w:sz w:val="21"/>
                <w:szCs w:val="21"/>
                <w:vertAlign w:val="baseline"/>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长春市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000000" w:themeColor="text1"/>
                <w:sz w:val="21"/>
                <w:szCs w:val="21"/>
                <w:vertAlign w:val="baseline"/>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吉林市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28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000000" w:themeColor="text1"/>
                <w:sz w:val="21"/>
                <w:szCs w:val="21"/>
                <w:vertAlign w:val="baseline"/>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四平市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000000" w:themeColor="text1"/>
                <w:sz w:val="21"/>
                <w:szCs w:val="21"/>
                <w:vertAlign w:val="baseline"/>
                <w:lang w:val="en-US"/>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000000" w:themeColor="text1"/>
                <w:sz w:val="21"/>
                <w:szCs w:val="21"/>
                <w:vertAlign w:val="baseline"/>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辽源市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000000" w:themeColor="text1"/>
                <w:sz w:val="21"/>
                <w:szCs w:val="21"/>
                <w:vertAlign w:val="baseline"/>
                <w:lang w:val="en-US"/>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000000" w:themeColor="text1"/>
                <w:sz w:val="21"/>
                <w:szCs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通化市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白山市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松原市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白城市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延边州</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eastAsia="仿宋" w:cs="Times New Roman"/>
                <w:color w:val="000000" w:themeColor="text1"/>
                <w:sz w:val="21"/>
                <w:szCs w:val="21"/>
                <w:lang w:eastAsia="zh-CN"/>
                <w14:textFill>
                  <w14:solidFill>
                    <w14:schemeClr w14:val="tx1"/>
                  </w14:solidFill>
                </w14:textFill>
              </w:rPr>
              <w:t>长白山管委会</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梅河口市</w:t>
            </w:r>
          </w:p>
        </w:tc>
        <w:tc>
          <w:tcPr>
            <w:tcW w:w="4502"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vertAlign w:val="baseline"/>
                <w:lang w:val="en-US" w:eastAsia="zh-CN"/>
                <w14:textFill>
                  <w14:solidFill>
                    <w14:schemeClr w14:val="tx1"/>
                  </w14:solidFill>
                </w14:textFill>
              </w:rPr>
              <w:t>——</w:t>
            </w:r>
          </w:p>
        </w:tc>
      </w:tr>
    </w:tbl>
    <w:p>
      <w:pPr>
        <w:pStyle w:val="3"/>
        <w:bidi w:val="0"/>
        <w:rPr>
          <w:rFonts w:hint="default" w:ascii="Times New Roman" w:hAnsi="Times New Roman" w:eastAsia="黑体" w:cs="Times New Roman"/>
          <w:b w:val="0"/>
          <w:bCs/>
          <w:sz w:val="36"/>
          <w:szCs w:val="36"/>
          <w:lang w:val="en-US" w:eastAsia="zh-CN"/>
        </w:rPr>
      </w:pPr>
      <w:bookmarkStart w:id="57" w:name="_Toc29110"/>
      <w:r>
        <w:rPr>
          <w:rFonts w:hint="default" w:ascii="Times New Roman" w:hAnsi="Times New Roman" w:eastAsia="黑体" w:cs="Times New Roman"/>
          <w:b w:val="0"/>
          <w:bCs/>
          <w:sz w:val="36"/>
          <w:szCs w:val="36"/>
          <w:lang w:val="en-US" w:eastAsia="zh-CN"/>
        </w:rPr>
        <w:t>4 结论</w:t>
      </w:r>
      <w:bookmarkEnd w:id="57"/>
    </w:p>
    <w:p>
      <w:pPr>
        <w:pStyle w:val="3"/>
        <w:bidi w:val="0"/>
        <w:rPr>
          <w:rFonts w:hint="default" w:ascii="Times New Roman" w:hAnsi="Times New Roman" w:eastAsia="黑体" w:cs="Times New Roman"/>
          <w:b w:val="0"/>
          <w:bCs/>
          <w:sz w:val="30"/>
          <w:szCs w:val="30"/>
          <w:lang w:val="en-US" w:eastAsia="zh-CN"/>
        </w:rPr>
      </w:pPr>
      <w:bookmarkStart w:id="58" w:name="_Toc13173"/>
      <w:r>
        <w:rPr>
          <w:rFonts w:hint="default" w:ascii="Times New Roman" w:hAnsi="Times New Roman" w:eastAsia="黑体" w:cs="Times New Roman"/>
          <w:b w:val="0"/>
          <w:bCs/>
          <w:sz w:val="30"/>
          <w:szCs w:val="30"/>
          <w:lang w:val="en-US" w:eastAsia="zh-CN"/>
        </w:rPr>
        <w:t>4.1 废水污染源执法监测情况</w:t>
      </w:r>
      <w:bookmarkEnd w:id="58"/>
    </w:p>
    <w:p>
      <w:pPr>
        <w:bidi w:val="0"/>
        <w:ind w:firstLine="560" w:firstLineChars="20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吉林省按照监测方案中监测频次、执行的排放标准、法律法规和排污许可等有关要求进行监测，2022年污染源废水执法监测共计完成347家企业，其中各市（州）达标率均为100%；</w:t>
      </w:r>
      <w:r>
        <w:rPr>
          <w:rFonts w:hint="default" w:ascii="Times New Roman" w:hAnsi="Times New Roman" w:cs="Times New Roman"/>
          <w:color w:val="auto"/>
          <w:highlight w:val="none"/>
          <w:lang w:val="en-US" w:eastAsia="zh-CN"/>
        </w:rPr>
        <w:t>COD和氨氮达标率均为100%</w:t>
      </w:r>
      <w:r>
        <w:rPr>
          <w:rFonts w:hint="default" w:ascii="Times New Roman" w:hAnsi="Times New Roman" w:cs="Times New Roman"/>
          <w:color w:val="000000" w:themeColor="text1"/>
          <w:lang w:val="en-US" w:eastAsia="zh-CN"/>
          <w14:textFill>
            <w14:solidFill>
              <w14:schemeClr w14:val="tx1"/>
            </w14:solidFill>
          </w14:textFill>
        </w:rPr>
        <w:t>。</w:t>
      </w:r>
    </w:p>
    <w:p>
      <w:pPr>
        <w:pStyle w:val="3"/>
        <w:bidi w:val="0"/>
        <w:rPr>
          <w:rFonts w:hint="default" w:ascii="Times New Roman" w:hAnsi="Times New Roman" w:eastAsia="黑体" w:cs="Times New Roman"/>
          <w:b w:val="0"/>
          <w:bCs/>
          <w:sz w:val="30"/>
          <w:szCs w:val="30"/>
          <w:lang w:val="en-US" w:eastAsia="zh-CN"/>
        </w:rPr>
      </w:pPr>
      <w:bookmarkStart w:id="59" w:name="_Toc15056"/>
      <w:r>
        <w:rPr>
          <w:rFonts w:hint="default" w:ascii="Times New Roman" w:hAnsi="Times New Roman" w:eastAsia="黑体" w:cs="Times New Roman"/>
          <w:b w:val="0"/>
          <w:bCs/>
          <w:sz w:val="30"/>
          <w:szCs w:val="30"/>
          <w:lang w:val="en-US" w:eastAsia="zh-CN"/>
        </w:rPr>
        <w:t>4.2 废气污染源执法监测情况</w:t>
      </w:r>
      <w:bookmarkEnd w:id="59"/>
    </w:p>
    <w:p>
      <w:pPr>
        <w:bidi w:val="0"/>
        <w:ind w:firstLine="560" w:firstLineChars="20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20</w:t>
      </w:r>
      <w:r>
        <w:rPr>
          <w:rFonts w:hint="default" w:ascii="Times New Roman" w:hAnsi="Times New Roman" w:cs="Times New Roman"/>
          <w:color w:val="000000" w:themeColor="text1"/>
          <w:lang w:val="en-US" w:eastAsia="zh-CN"/>
          <w14:textFill>
            <w14:solidFill>
              <w14:schemeClr w14:val="tx1"/>
            </w14:solidFill>
          </w14:textFill>
        </w:rPr>
        <w:t>22</w:t>
      </w:r>
      <w:r>
        <w:rPr>
          <w:rFonts w:hint="default" w:ascii="Times New Roman" w:hAnsi="Times New Roman" w:cs="Times New Roman"/>
          <w:color w:val="000000" w:themeColor="text1"/>
          <w14:textFill>
            <w14:solidFill>
              <w14:schemeClr w14:val="tx1"/>
            </w14:solidFill>
          </w14:textFill>
        </w:rPr>
        <w:t>年吉林省</w:t>
      </w:r>
      <w:r>
        <w:rPr>
          <w:rFonts w:hint="default" w:ascii="Times New Roman" w:hAnsi="Times New Roman" w:cs="Times New Roman"/>
          <w:color w:val="000000" w:themeColor="text1"/>
          <w:lang w:eastAsia="zh-CN"/>
          <w14:textFill>
            <w14:solidFill>
              <w14:schemeClr w14:val="tx1"/>
            </w14:solidFill>
          </w14:textFill>
        </w:rPr>
        <w:t>污染</w:t>
      </w:r>
      <w:r>
        <w:rPr>
          <w:rFonts w:hint="default" w:ascii="Times New Roman" w:hAnsi="Times New Roman" w:cs="Times New Roman"/>
          <w:color w:val="000000" w:themeColor="text1"/>
          <w14:textFill>
            <w14:solidFill>
              <w14:schemeClr w14:val="tx1"/>
            </w14:solidFill>
          </w14:textFill>
        </w:rPr>
        <w:t>源废气</w:t>
      </w:r>
      <w:r>
        <w:rPr>
          <w:rFonts w:hint="default" w:ascii="Times New Roman" w:hAnsi="Times New Roman" w:cs="Times New Roman"/>
          <w:color w:val="000000" w:themeColor="text1"/>
          <w:lang w:eastAsia="zh-CN"/>
          <w14:textFill>
            <w14:solidFill>
              <w14:schemeClr w14:val="tx1"/>
            </w14:solidFill>
          </w14:textFill>
        </w:rPr>
        <w:t>执法</w:t>
      </w:r>
      <w:r>
        <w:rPr>
          <w:rFonts w:hint="default" w:ascii="Times New Roman" w:hAnsi="Times New Roman" w:cs="Times New Roman"/>
          <w:color w:val="000000" w:themeColor="text1"/>
          <w14:textFill>
            <w14:solidFill>
              <w14:schemeClr w14:val="tx1"/>
            </w14:solidFill>
          </w14:textFill>
        </w:rPr>
        <w:t>监测共计完成</w:t>
      </w:r>
      <w:r>
        <w:rPr>
          <w:rFonts w:hint="default" w:ascii="Times New Roman" w:hAnsi="Times New Roman" w:cs="Times New Roman"/>
          <w:color w:val="000000" w:themeColor="text1"/>
          <w:lang w:val="en-US" w:eastAsia="zh-CN"/>
          <w14:textFill>
            <w14:solidFill>
              <w14:schemeClr w14:val="tx1"/>
            </w14:solidFill>
          </w14:textFill>
        </w:rPr>
        <w:t>314</w:t>
      </w:r>
      <w:r>
        <w:rPr>
          <w:rFonts w:hint="default" w:ascii="Times New Roman" w:hAnsi="Times New Roman" w:cs="Times New Roman"/>
          <w:color w:val="000000" w:themeColor="text1"/>
          <w14:textFill>
            <w14:solidFill>
              <w14:schemeClr w14:val="tx1"/>
            </w14:solidFill>
          </w14:textFill>
        </w:rPr>
        <w:t>家企业，总体达标率达</w:t>
      </w:r>
      <w:r>
        <w:rPr>
          <w:rFonts w:hint="default" w:ascii="Times New Roman" w:hAnsi="Times New Roman" w:cs="Times New Roman"/>
          <w:color w:val="000000" w:themeColor="text1"/>
          <w:lang w:val="en-US" w:eastAsia="zh-CN"/>
          <w14:textFill>
            <w14:solidFill>
              <w14:schemeClr w14:val="tx1"/>
            </w14:solidFill>
          </w14:textFill>
        </w:rPr>
        <w:t>为99.4%</w:t>
      </w: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lang w:eastAsia="zh-CN"/>
          <w14:textFill>
            <w14:solidFill>
              <w14:schemeClr w14:val="tx1"/>
            </w14:solidFill>
          </w14:textFill>
        </w:rPr>
        <w:t>长春市</w:t>
      </w:r>
      <w:r>
        <w:rPr>
          <w:rFonts w:hint="default" w:ascii="Times New Roman" w:hAnsi="Times New Roman" w:cs="Times New Roman"/>
          <w:color w:val="000000" w:themeColor="text1"/>
          <w:lang w:val="en-US" w:eastAsia="zh-CN"/>
          <w14:textFill>
            <w14:solidFill>
              <w14:schemeClr w14:val="tx1"/>
            </w14:solidFill>
          </w14:textFill>
        </w:rPr>
        <w:t>达标率为98.4%，其他10个市（州）达标率均为</w:t>
      </w:r>
      <w:r>
        <w:rPr>
          <w:rFonts w:hint="default" w:ascii="Times New Roman" w:hAnsi="Times New Roman" w:cs="Times New Roman"/>
          <w:color w:val="auto"/>
          <w:highlight w:val="none"/>
          <w:lang w:val="en-US" w:eastAsia="zh-CN"/>
        </w:rPr>
        <w:t>100</w:t>
      </w:r>
      <w:r>
        <w:rPr>
          <w:rFonts w:hint="default" w:ascii="Times New Roman" w:hAnsi="Times New Roman" w:cs="Times New Roman"/>
          <w:color w:val="000000" w:themeColor="text1"/>
          <w:lang w:val="en-US" w:eastAsia="zh-CN"/>
          <w14:textFill>
            <w14:solidFill>
              <w14:schemeClr w14:val="tx1"/>
            </w14:solidFill>
          </w14:textFill>
        </w:rPr>
        <w:t>%。</w:t>
      </w:r>
    </w:p>
    <w:p>
      <w:pPr>
        <w:pStyle w:val="3"/>
        <w:bidi w:val="0"/>
        <w:rPr>
          <w:rFonts w:hint="default" w:ascii="Times New Roman" w:hAnsi="Times New Roman" w:eastAsia="黑体" w:cs="Times New Roman"/>
          <w:b w:val="0"/>
          <w:bCs/>
          <w:sz w:val="30"/>
          <w:szCs w:val="30"/>
          <w:lang w:val="en-US" w:eastAsia="zh-CN"/>
        </w:rPr>
      </w:pPr>
      <w:bookmarkStart w:id="60" w:name="_Toc10601"/>
      <w:r>
        <w:rPr>
          <w:rFonts w:hint="default" w:ascii="Times New Roman" w:hAnsi="Times New Roman" w:eastAsia="黑体" w:cs="Times New Roman"/>
          <w:b w:val="0"/>
          <w:bCs/>
          <w:sz w:val="30"/>
          <w:szCs w:val="30"/>
          <w:lang w:val="en-US" w:eastAsia="zh-CN"/>
        </w:rPr>
        <w:t>4.3 其他执法监测情况</w:t>
      </w:r>
      <w:bookmarkEnd w:id="60"/>
    </w:p>
    <w:p>
      <w:pPr>
        <w:bidi w:val="0"/>
        <w:ind w:firstLine="560" w:firstLineChars="200"/>
        <w:rPr>
          <w:rFonts w:hint="default" w:ascii="Times New Roman" w:hAnsi="Times New Roman" w:cs="Times New Roman"/>
          <w:color w:val="FF0000"/>
          <w:lang w:val="en-US" w:eastAsia="zh-CN"/>
        </w:rPr>
      </w:pPr>
      <w:r>
        <w:rPr>
          <w:rFonts w:hint="default" w:ascii="Times New Roman" w:hAnsi="Times New Roman" w:cs="Times New Roman"/>
          <w:color w:val="000000" w:themeColor="text1"/>
          <w:lang w:val="en-US" w:eastAsia="zh-CN"/>
          <w14:textFill>
            <w14:solidFill>
              <w14:schemeClr w14:val="tx1"/>
            </w14:solidFill>
          </w14:textFill>
        </w:rPr>
        <w:t>全年执法监测的污水处理厂共97家，总体达标率为</w:t>
      </w:r>
      <w:r>
        <w:rPr>
          <w:rFonts w:hint="default" w:ascii="Times New Roman" w:hAnsi="Times New Roman" w:cs="Times New Roman"/>
          <w:color w:val="auto"/>
          <w:highlight w:val="none"/>
          <w:lang w:val="en-US" w:eastAsia="zh-CN"/>
        </w:rPr>
        <w:t>100</w:t>
      </w:r>
      <w:r>
        <w:rPr>
          <w:rFonts w:hint="default" w:ascii="Times New Roman" w:hAnsi="Times New Roman" w:cs="Times New Roman"/>
          <w:color w:val="000000" w:themeColor="text1"/>
          <w:lang w:val="en-US" w:eastAsia="zh-CN"/>
          <w14:textFill>
            <w14:solidFill>
              <w14:schemeClr w14:val="tx1"/>
            </w14:solidFill>
          </w14:textFill>
        </w:rPr>
        <w:t>%；无组织执法监测数据统计中，全年执法监测手工无组织监测企业共计88家，总体达标率为98.9%；周边环境执法监测数据统计中，全年执法监测企业共计36家，总体达标率为</w:t>
      </w:r>
      <w:r>
        <w:rPr>
          <w:rFonts w:hint="default" w:ascii="Times New Roman" w:hAnsi="Times New Roman" w:cs="Times New Roman"/>
          <w:color w:val="auto"/>
          <w:highlight w:val="none"/>
          <w:lang w:val="en-US" w:eastAsia="zh-CN"/>
        </w:rPr>
        <w:t>100</w:t>
      </w:r>
      <w:r>
        <w:rPr>
          <w:rFonts w:hint="default" w:ascii="Times New Roman" w:hAnsi="Times New Roman" w:cs="Times New Roman"/>
          <w:color w:val="000000" w:themeColor="text1"/>
          <w:lang w:val="en-US" w:eastAsia="zh-CN"/>
          <w14:textFill>
            <w14:solidFill>
              <w14:schemeClr w14:val="tx1"/>
            </w14:solidFill>
          </w14:textFill>
        </w:rPr>
        <w:t>%；厂界噪声执法监测数据统计中，全年执法监测企业共计19家，总体达标率为</w:t>
      </w:r>
      <w:r>
        <w:rPr>
          <w:rFonts w:hint="default" w:ascii="Times New Roman" w:hAnsi="Times New Roman" w:cs="Times New Roman"/>
          <w:color w:val="000000" w:themeColor="text1"/>
          <w:highlight w:val="none"/>
          <w:lang w:val="en-US" w:eastAsia="zh-CN"/>
          <w14:textFill>
            <w14:solidFill>
              <w14:schemeClr w14:val="tx1"/>
            </w14:solidFill>
          </w14:textFill>
        </w:rPr>
        <w:t>100</w:t>
      </w:r>
      <w:r>
        <w:rPr>
          <w:rFonts w:hint="default" w:ascii="Times New Roman" w:hAnsi="Times New Roman" w:cs="Times New Roman"/>
          <w:color w:val="000000" w:themeColor="text1"/>
          <w:lang w:val="en-US" w:eastAsia="zh-CN"/>
          <w14:textFill>
            <w14:solidFill>
              <w14:schemeClr w14:val="tx1"/>
            </w14:solidFill>
          </w14:textFill>
        </w:rPr>
        <w:t>%。</w:t>
      </w:r>
    </w:p>
    <w:p>
      <w:pPr>
        <w:pStyle w:val="3"/>
        <w:bidi w:val="0"/>
        <w:rPr>
          <w:rFonts w:hint="default" w:ascii="Times New Roman" w:hAnsi="Times New Roman" w:eastAsia="黑体" w:cs="Times New Roman"/>
          <w:b w:val="0"/>
          <w:bCs/>
          <w:sz w:val="30"/>
          <w:szCs w:val="30"/>
          <w:lang w:val="en-US" w:eastAsia="zh-CN"/>
        </w:rPr>
      </w:pPr>
      <w:bookmarkStart w:id="61" w:name="_Toc20564"/>
      <w:r>
        <w:rPr>
          <w:rFonts w:hint="default" w:ascii="Times New Roman" w:hAnsi="Times New Roman" w:eastAsia="黑体" w:cs="Times New Roman"/>
          <w:b w:val="0"/>
          <w:bCs/>
          <w:sz w:val="30"/>
          <w:szCs w:val="30"/>
          <w:lang w:val="en-US" w:eastAsia="zh-CN"/>
        </w:rPr>
        <w:t>4.4 自动监测设备企业开展比对监测情况</w:t>
      </w:r>
      <w:bookmarkEnd w:id="61"/>
    </w:p>
    <w:p>
      <w:pPr>
        <w:bidi w:val="0"/>
        <w:ind w:firstLine="560" w:firstLineChars="20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对安装污染源自动监测设备</w:t>
      </w:r>
      <w:r>
        <w:rPr>
          <w:rFonts w:hint="default" w:ascii="Times New Roman" w:hAnsi="Times New Roman" w:cs="Times New Roman"/>
          <w:color w:val="000000" w:themeColor="text1"/>
          <w:lang w:eastAsia="zh-CN"/>
          <w14:textFill>
            <w14:solidFill>
              <w14:schemeClr w14:val="tx1"/>
            </w14:solidFill>
          </w14:textFill>
        </w:rPr>
        <w:t>的企业</w:t>
      </w:r>
      <w:r>
        <w:rPr>
          <w:rFonts w:hint="default" w:ascii="Times New Roman" w:hAnsi="Times New Roman" w:cs="Times New Roman"/>
          <w:color w:val="000000" w:themeColor="text1"/>
          <w14:textFill>
            <w14:solidFill>
              <w14:schemeClr w14:val="tx1"/>
            </w14:solidFill>
          </w14:textFill>
        </w:rPr>
        <w:t>开展比对监测</w:t>
      </w:r>
      <w:r>
        <w:rPr>
          <w:rFonts w:hint="default" w:ascii="Times New Roman" w:hAnsi="Times New Roman" w:cs="Times New Roman"/>
          <w:color w:val="000000" w:themeColor="text1"/>
          <w:lang w:eastAsia="zh-CN"/>
          <w14:textFill>
            <w14:solidFill>
              <w14:schemeClr w14:val="tx1"/>
            </w14:solidFill>
          </w14:textFill>
        </w:rPr>
        <w:t>，全</w:t>
      </w:r>
      <w:r>
        <w:rPr>
          <w:rFonts w:hint="default" w:ascii="Times New Roman" w:hAnsi="Times New Roman" w:cs="Times New Roman"/>
          <w:color w:val="000000" w:themeColor="text1"/>
          <w14:textFill>
            <w14:solidFill>
              <w14:schemeClr w14:val="tx1"/>
            </w14:solidFill>
          </w14:textFill>
        </w:rPr>
        <w:t>年废</w:t>
      </w:r>
      <w:r>
        <w:rPr>
          <w:rFonts w:hint="default" w:ascii="Times New Roman" w:hAnsi="Times New Roman" w:cs="Times New Roman"/>
          <w:color w:val="000000" w:themeColor="text1"/>
          <w:lang w:eastAsia="zh-CN"/>
          <w14:textFill>
            <w14:solidFill>
              <w14:schemeClr w14:val="tx1"/>
            </w14:solidFill>
          </w14:textFill>
        </w:rPr>
        <w:t>水</w:t>
      </w:r>
      <w:r>
        <w:rPr>
          <w:rFonts w:hint="default" w:ascii="Times New Roman" w:hAnsi="Times New Roman" w:cs="Times New Roman"/>
          <w:color w:val="000000" w:themeColor="text1"/>
          <w14:textFill>
            <w14:solidFill>
              <w14:schemeClr w14:val="tx1"/>
            </w14:solidFill>
          </w14:textFill>
        </w:rPr>
        <w:t>比对数据共计</w:t>
      </w:r>
      <w:r>
        <w:rPr>
          <w:rFonts w:hint="default" w:ascii="Times New Roman" w:hAnsi="Times New Roman" w:cs="Times New Roman"/>
          <w:color w:val="000000" w:themeColor="text1"/>
          <w:lang w:val="en-US" w:eastAsia="zh-CN"/>
          <w14:textFill>
            <w14:solidFill>
              <w14:schemeClr w14:val="tx1"/>
            </w14:solidFill>
          </w14:textFill>
        </w:rPr>
        <w:t>49</w:t>
      </w:r>
      <w:r>
        <w:rPr>
          <w:rFonts w:hint="default" w:ascii="Times New Roman" w:hAnsi="Times New Roman" w:cs="Times New Roman"/>
          <w:color w:val="000000" w:themeColor="text1"/>
          <w14:textFill>
            <w14:solidFill>
              <w14:schemeClr w14:val="tx1"/>
            </w14:solidFill>
          </w14:textFill>
        </w:rPr>
        <w:t>家</w:t>
      </w:r>
      <w:r>
        <w:rPr>
          <w:rFonts w:hint="default" w:ascii="Times New Roman" w:hAnsi="Times New Roman" w:cs="Times New Roman"/>
          <w:color w:val="000000" w:themeColor="text1"/>
          <w:lang w:eastAsia="zh-CN"/>
          <w14:textFill>
            <w14:solidFill>
              <w14:schemeClr w14:val="tx1"/>
            </w14:solidFill>
          </w14:textFill>
        </w:rPr>
        <w:t>，总体达标率为</w:t>
      </w:r>
      <w:r>
        <w:rPr>
          <w:rFonts w:hint="default" w:ascii="Times New Roman" w:hAnsi="Times New Roman" w:cs="Times New Roman"/>
          <w:color w:val="000000" w:themeColor="text1"/>
          <w:highlight w:val="none"/>
          <w:lang w:val="en-US" w:eastAsia="zh-CN"/>
          <w14:textFill>
            <w14:solidFill>
              <w14:schemeClr w14:val="tx1"/>
            </w14:solidFill>
          </w14:textFill>
        </w:rPr>
        <w:t>100</w:t>
      </w:r>
      <w:r>
        <w:rPr>
          <w:rFonts w:hint="default"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eastAsia="zh-CN"/>
          <w14:textFill>
            <w14:solidFill>
              <w14:schemeClr w14:val="tx1"/>
            </w14:solidFill>
          </w14:textFill>
        </w:rPr>
        <w:t>全</w:t>
      </w:r>
      <w:r>
        <w:rPr>
          <w:rFonts w:hint="default" w:ascii="Times New Roman" w:hAnsi="Times New Roman" w:cs="Times New Roman"/>
          <w:color w:val="000000" w:themeColor="text1"/>
          <w14:textFill>
            <w14:solidFill>
              <w14:schemeClr w14:val="tx1"/>
            </w14:solidFill>
          </w14:textFill>
        </w:rPr>
        <w:t>年废气比对数据共计</w:t>
      </w:r>
      <w:r>
        <w:rPr>
          <w:rFonts w:hint="default" w:ascii="Times New Roman" w:hAnsi="Times New Roman" w:cs="Times New Roman"/>
          <w:color w:val="000000" w:themeColor="text1"/>
          <w:lang w:val="en-US" w:eastAsia="zh-CN"/>
          <w14:textFill>
            <w14:solidFill>
              <w14:schemeClr w14:val="tx1"/>
            </w14:solidFill>
          </w14:textFill>
        </w:rPr>
        <w:t>32</w:t>
      </w:r>
      <w:r>
        <w:rPr>
          <w:rFonts w:hint="default" w:ascii="Times New Roman" w:hAnsi="Times New Roman" w:cs="Times New Roman"/>
          <w:color w:val="000000" w:themeColor="text1"/>
          <w14:textFill>
            <w14:solidFill>
              <w14:schemeClr w14:val="tx1"/>
            </w14:solidFill>
          </w14:textFill>
        </w:rPr>
        <w:t>家</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总体达标率为100%</w:t>
      </w:r>
      <w:r>
        <w:rPr>
          <w:rFonts w:hint="default" w:ascii="Times New Roman" w:hAnsi="Times New Roman" w:cs="Times New Roman"/>
          <w:color w:val="000000" w:themeColor="text1"/>
          <w:lang w:eastAsia="zh-CN"/>
          <w14:textFill>
            <w14:solidFill>
              <w14:schemeClr w14:val="tx1"/>
            </w14:solidFill>
          </w14:textFill>
        </w:rPr>
        <w:t>。</w:t>
      </w:r>
    </w:p>
    <w:p>
      <w:pPr>
        <w:tabs>
          <w:tab w:val="left" w:pos="4920"/>
        </w:tabs>
        <w:spacing w:line="320" w:lineRule="exact"/>
        <w:ind w:right="-201" w:firstLine="5040" w:firstLineChars="1800"/>
        <w:rPr>
          <w:rFonts w:hint="default" w:ascii="Times New Roman" w:hAnsi="Times New Roman" w:cs="Times New Roman"/>
          <w:szCs w:val="21"/>
        </w:rPr>
      </w:pPr>
    </w:p>
    <w:p>
      <w:pPr>
        <w:tabs>
          <w:tab w:val="left" w:pos="4920"/>
        </w:tabs>
        <w:spacing w:line="320" w:lineRule="exact"/>
        <w:ind w:right="-201" w:firstLine="5040" w:firstLineChars="1800"/>
        <w:rPr>
          <w:rFonts w:hint="default" w:ascii="Times New Roman" w:hAnsi="Times New Roman" w:cs="Times New Roman"/>
          <w:szCs w:val="21"/>
        </w:rPr>
      </w:pPr>
    </w:p>
    <w:p>
      <w:pPr>
        <w:tabs>
          <w:tab w:val="left" w:pos="4920"/>
        </w:tabs>
        <w:spacing w:line="320" w:lineRule="exact"/>
        <w:ind w:right="-201" w:firstLine="5040" w:firstLineChars="1800"/>
        <w:rPr>
          <w:rFonts w:hint="default" w:ascii="Times New Roman" w:hAnsi="Times New Roman" w:cs="Times New Roman"/>
          <w:szCs w:val="21"/>
        </w:rPr>
      </w:pPr>
    </w:p>
    <w:p>
      <w:pPr>
        <w:tabs>
          <w:tab w:val="left" w:pos="4920"/>
        </w:tabs>
        <w:spacing w:line="320" w:lineRule="exact"/>
        <w:ind w:right="-201" w:firstLine="5040" w:firstLineChars="1800"/>
        <w:rPr>
          <w:rFonts w:hint="default" w:ascii="Times New Roman" w:hAnsi="Times New Roman" w:cs="Times New Roman"/>
          <w:szCs w:val="21"/>
        </w:rPr>
      </w:pPr>
    </w:p>
    <w:p>
      <w:pPr>
        <w:tabs>
          <w:tab w:val="left" w:pos="4920"/>
        </w:tabs>
        <w:spacing w:line="320" w:lineRule="exact"/>
        <w:ind w:right="-201" w:firstLine="5040" w:firstLineChars="1800"/>
        <w:rPr>
          <w:rFonts w:hint="default" w:ascii="Times New Roman" w:hAnsi="Times New Roman" w:cs="Times New Roman"/>
          <w:szCs w:val="21"/>
        </w:rPr>
      </w:pPr>
    </w:p>
    <w:p>
      <w:pPr>
        <w:tabs>
          <w:tab w:val="left" w:pos="4920"/>
        </w:tabs>
        <w:spacing w:line="320" w:lineRule="exact"/>
        <w:ind w:right="-201" w:firstLine="5040" w:firstLineChars="1800"/>
        <w:rPr>
          <w:rFonts w:hint="default" w:ascii="Times New Roman" w:hAnsi="Times New Roman" w:cs="Times New Roman"/>
          <w:szCs w:val="21"/>
        </w:rPr>
      </w:pPr>
    </w:p>
    <w:p>
      <w:pPr>
        <w:tabs>
          <w:tab w:val="left" w:pos="4920"/>
        </w:tabs>
        <w:spacing w:line="320" w:lineRule="exact"/>
        <w:ind w:right="-201" w:firstLine="5040" w:firstLineChars="1800"/>
        <w:rPr>
          <w:rFonts w:hint="default" w:ascii="Times New Roman" w:hAnsi="Times New Roman" w:cs="Times New Roman"/>
          <w:szCs w:val="21"/>
        </w:rPr>
      </w:pPr>
    </w:p>
    <w:p>
      <w:pPr>
        <w:tabs>
          <w:tab w:val="left" w:pos="4920"/>
        </w:tabs>
        <w:spacing w:line="320" w:lineRule="exact"/>
        <w:ind w:right="-201" w:firstLine="5040" w:firstLineChars="1800"/>
        <w:rPr>
          <w:rFonts w:hint="default" w:ascii="Times New Roman" w:hAnsi="Times New Roman" w:cs="Times New Roman"/>
          <w:szCs w:val="21"/>
        </w:rPr>
      </w:pPr>
    </w:p>
    <w:p>
      <w:pPr>
        <w:tabs>
          <w:tab w:val="left" w:pos="4920"/>
        </w:tabs>
        <w:spacing w:line="320" w:lineRule="exact"/>
        <w:ind w:right="-201" w:firstLine="5040" w:firstLineChars="1800"/>
        <w:rPr>
          <w:rFonts w:hint="default" w:ascii="Times New Roman" w:hAnsi="Times New Roman" w:cs="Times New Roman"/>
          <w:szCs w:val="21"/>
        </w:rPr>
      </w:pPr>
    </w:p>
    <w:p>
      <w:pPr>
        <w:tabs>
          <w:tab w:val="left" w:pos="4920"/>
        </w:tabs>
        <w:spacing w:line="320" w:lineRule="exact"/>
        <w:ind w:right="-201" w:firstLine="5040" w:firstLineChars="1800"/>
        <w:rPr>
          <w:rFonts w:hint="default" w:ascii="Times New Roman" w:hAnsi="Times New Roman" w:cs="Times New Roman"/>
          <w:szCs w:val="21"/>
        </w:rPr>
      </w:pPr>
    </w:p>
    <w:p>
      <w:pPr>
        <w:tabs>
          <w:tab w:val="left" w:pos="4920"/>
        </w:tabs>
        <w:spacing w:line="320" w:lineRule="exact"/>
        <w:ind w:right="-201" w:firstLine="5040" w:firstLineChars="1800"/>
        <w:rPr>
          <w:rFonts w:hint="default" w:ascii="Times New Roman" w:hAnsi="Times New Roman" w:cs="Times New Roman"/>
          <w:szCs w:val="21"/>
        </w:rPr>
      </w:pPr>
    </w:p>
    <w:p>
      <w:pPr>
        <w:tabs>
          <w:tab w:val="left" w:pos="4920"/>
        </w:tabs>
        <w:spacing w:line="320" w:lineRule="exact"/>
        <w:ind w:right="-201" w:firstLine="5040" w:firstLineChars="1800"/>
        <w:rPr>
          <w:rFonts w:hint="default" w:ascii="Times New Roman" w:hAnsi="Times New Roman" w:cs="Times New Roman"/>
          <w:szCs w:val="21"/>
        </w:rPr>
      </w:pPr>
    </w:p>
    <w:p>
      <w:pPr>
        <w:tabs>
          <w:tab w:val="left" w:pos="4920"/>
        </w:tabs>
        <w:spacing w:line="320" w:lineRule="exact"/>
        <w:ind w:right="-201" w:firstLine="5040" w:firstLineChars="1800"/>
        <w:rPr>
          <w:rFonts w:hint="default" w:ascii="Times New Roman" w:hAnsi="Times New Roman" w:cs="Times New Roman"/>
          <w:szCs w:val="21"/>
        </w:rPr>
      </w:pPr>
    </w:p>
    <w:p>
      <w:pPr>
        <w:tabs>
          <w:tab w:val="left" w:pos="4920"/>
        </w:tabs>
        <w:spacing w:line="320" w:lineRule="exact"/>
        <w:ind w:right="-201" w:firstLine="5040" w:firstLineChars="1800"/>
        <w:rPr>
          <w:rFonts w:hint="default" w:ascii="Times New Roman" w:hAnsi="Times New Roman" w:cs="Times New Roman"/>
          <w:szCs w:val="21"/>
        </w:rPr>
      </w:pPr>
    </w:p>
    <w:p>
      <w:pPr>
        <w:tabs>
          <w:tab w:val="left" w:pos="4920"/>
        </w:tabs>
        <w:spacing w:line="320" w:lineRule="exact"/>
        <w:ind w:right="-201" w:firstLine="5040" w:firstLineChars="1800"/>
        <w:rPr>
          <w:rFonts w:hint="default" w:ascii="Times New Roman" w:hAnsi="Times New Roman" w:cs="Times New Roman"/>
          <w:szCs w:val="21"/>
        </w:rPr>
      </w:pPr>
    </w:p>
    <w:p>
      <w:pPr>
        <w:tabs>
          <w:tab w:val="left" w:pos="4920"/>
        </w:tabs>
        <w:spacing w:line="320" w:lineRule="exact"/>
        <w:ind w:right="-201" w:firstLine="5040" w:firstLineChars="1800"/>
        <w:rPr>
          <w:rFonts w:hint="default" w:ascii="Times New Roman" w:hAnsi="Times New Roman" w:cs="Times New Roman"/>
          <w:szCs w:val="21"/>
        </w:rPr>
      </w:pPr>
    </w:p>
    <w:p>
      <w:pPr>
        <w:tabs>
          <w:tab w:val="left" w:pos="4920"/>
        </w:tabs>
        <w:spacing w:line="320" w:lineRule="exact"/>
        <w:ind w:right="-201" w:firstLine="5040" w:firstLineChars="1800"/>
        <w:rPr>
          <w:rFonts w:hint="default" w:ascii="Times New Roman" w:hAnsi="Times New Roman" w:cs="Times New Roman"/>
          <w:szCs w:val="21"/>
        </w:rPr>
      </w:pPr>
    </w:p>
    <w:p>
      <w:pPr>
        <w:tabs>
          <w:tab w:val="left" w:pos="4920"/>
        </w:tabs>
        <w:spacing w:line="320" w:lineRule="exact"/>
        <w:ind w:right="-201" w:firstLine="5040" w:firstLineChars="1800"/>
        <w:rPr>
          <w:rFonts w:hint="default" w:ascii="Times New Roman" w:hAnsi="Times New Roman" w:cs="Times New Roman"/>
          <w:szCs w:val="21"/>
        </w:rPr>
      </w:pPr>
    </w:p>
    <w:p>
      <w:pPr>
        <w:tabs>
          <w:tab w:val="left" w:pos="4920"/>
        </w:tabs>
        <w:spacing w:line="320" w:lineRule="exact"/>
        <w:ind w:right="-201" w:firstLine="5040" w:firstLineChars="1800"/>
        <w:rPr>
          <w:rFonts w:hint="default" w:ascii="Times New Roman" w:hAnsi="Times New Roman" w:cs="Times New Roman"/>
          <w:szCs w:val="21"/>
        </w:rPr>
      </w:pPr>
    </w:p>
    <w:p>
      <w:pPr>
        <w:tabs>
          <w:tab w:val="left" w:pos="4920"/>
        </w:tabs>
        <w:spacing w:line="320" w:lineRule="exact"/>
        <w:ind w:right="-201" w:firstLine="5040" w:firstLineChars="1800"/>
        <w:rPr>
          <w:rFonts w:hint="default" w:ascii="Times New Roman" w:hAnsi="Times New Roman" w:cs="Times New Roman"/>
          <w:szCs w:val="21"/>
        </w:rPr>
      </w:pPr>
    </w:p>
    <w:p>
      <w:pPr>
        <w:tabs>
          <w:tab w:val="left" w:pos="4920"/>
        </w:tabs>
        <w:spacing w:line="320" w:lineRule="exact"/>
        <w:ind w:right="-201" w:firstLine="5040" w:firstLineChars="1800"/>
        <w:rPr>
          <w:rFonts w:hint="default" w:ascii="Times New Roman" w:hAnsi="Times New Roman" w:cs="Times New Roman"/>
          <w:szCs w:val="21"/>
        </w:rPr>
      </w:pPr>
    </w:p>
    <w:p>
      <w:pPr>
        <w:tabs>
          <w:tab w:val="left" w:pos="4920"/>
        </w:tabs>
        <w:spacing w:line="320" w:lineRule="exact"/>
        <w:ind w:right="-201" w:firstLine="5040" w:firstLineChars="1800"/>
        <w:rPr>
          <w:rFonts w:hint="default" w:ascii="Times New Roman" w:hAnsi="Times New Roman" w:cs="Times New Roman"/>
          <w:szCs w:val="21"/>
        </w:rPr>
      </w:pPr>
    </w:p>
    <w:p>
      <w:pPr>
        <w:tabs>
          <w:tab w:val="left" w:pos="4920"/>
        </w:tabs>
        <w:spacing w:line="320" w:lineRule="exact"/>
        <w:ind w:right="-201" w:firstLine="5040" w:firstLineChars="1800"/>
        <w:rPr>
          <w:rFonts w:hint="default" w:ascii="Times New Roman" w:hAnsi="Times New Roman" w:cs="Times New Roman"/>
          <w:szCs w:val="21"/>
        </w:rPr>
      </w:pPr>
    </w:p>
    <w:p>
      <w:pPr>
        <w:tabs>
          <w:tab w:val="left" w:pos="4920"/>
        </w:tabs>
        <w:spacing w:line="320" w:lineRule="exact"/>
        <w:ind w:right="-201" w:firstLine="5040" w:firstLineChars="1800"/>
        <w:rPr>
          <w:rFonts w:hint="default" w:ascii="Times New Roman" w:hAnsi="Times New Roman" w:cs="Times New Roman"/>
          <w:szCs w:val="21"/>
        </w:rPr>
      </w:pPr>
    </w:p>
    <w:p>
      <w:pPr>
        <w:tabs>
          <w:tab w:val="left" w:pos="4920"/>
        </w:tabs>
        <w:spacing w:line="320" w:lineRule="exact"/>
        <w:ind w:right="-201" w:firstLine="5040" w:firstLineChars="1800"/>
        <w:rPr>
          <w:rFonts w:hint="default" w:ascii="Times New Roman" w:hAnsi="Times New Roman" w:cs="Times New Roman"/>
          <w:szCs w:val="21"/>
        </w:rPr>
      </w:pPr>
    </w:p>
    <w:p>
      <w:pPr>
        <w:tabs>
          <w:tab w:val="left" w:pos="4920"/>
        </w:tabs>
        <w:spacing w:line="320" w:lineRule="exact"/>
        <w:ind w:right="-201" w:firstLine="5040" w:firstLineChars="1800"/>
        <w:rPr>
          <w:rFonts w:hint="default" w:ascii="Times New Roman" w:hAnsi="Times New Roman" w:cs="Times New Roman"/>
          <w:szCs w:val="21"/>
        </w:rPr>
      </w:pPr>
    </w:p>
    <w:p>
      <w:pPr>
        <w:tabs>
          <w:tab w:val="left" w:pos="4920"/>
        </w:tabs>
        <w:spacing w:line="320" w:lineRule="exact"/>
        <w:ind w:right="-201" w:firstLine="5040" w:firstLineChars="1800"/>
        <w:rPr>
          <w:rFonts w:hint="default" w:ascii="Times New Roman" w:hAnsi="Times New Roman" w:cs="Times New Roman"/>
          <w:szCs w:val="21"/>
        </w:rPr>
      </w:pPr>
    </w:p>
    <w:p>
      <w:pPr>
        <w:tabs>
          <w:tab w:val="left" w:pos="4920"/>
        </w:tabs>
        <w:spacing w:line="320" w:lineRule="exact"/>
        <w:ind w:right="-201" w:firstLine="5040" w:firstLineChars="1800"/>
        <w:rPr>
          <w:rFonts w:hint="default" w:ascii="Times New Roman" w:hAnsi="Times New Roman" w:cs="Times New Roman"/>
          <w:szCs w:val="21"/>
        </w:rPr>
      </w:pPr>
    </w:p>
    <w:p>
      <w:pPr>
        <w:tabs>
          <w:tab w:val="left" w:pos="4920"/>
        </w:tabs>
        <w:spacing w:line="320" w:lineRule="exact"/>
        <w:ind w:right="-201" w:firstLine="5040" w:firstLineChars="1800"/>
        <w:rPr>
          <w:rFonts w:hint="default" w:ascii="Times New Roman" w:hAnsi="Times New Roman" w:cs="Times New Roman"/>
          <w:szCs w:val="21"/>
        </w:rPr>
      </w:pPr>
    </w:p>
    <w:p>
      <w:pPr>
        <w:tabs>
          <w:tab w:val="left" w:pos="4920"/>
        </w:tabs>
        <w:spacing w:line="320" w:lineRule="exact"/>
        <w:ind w:right="-201" w:firstLine="5040" w:firstLineChars="1800"/>
        <w:rPr>
          <w:rFonts w:hint="default" w:ascii="Times New Roman" w:hAnsi="Times New Roman" w:cs="Times New Roman"/>
          <w:szCs w:val="21"/>
        </w:rPr>
      </w:pPr>
    </w:p>
    <w:p>
      <w:pPr>
        <w:tabs>
          <w:tab w:val="left" w:pos="4920"/>
        </w:tabs>
        <w:spacing w:line="320" w:lineRule="exact"/>
        <w:ind w:right="-201" w:firstLine="5040" w:firstLineChars="1800"/>
        <w:rPr>
          <w:rFonts w:hint="default" w:ascii="Times New Roman" w:hAnsi="Times New Roman" w:cs="Times New Roman"/>
          <w:szCs w:val="21"/>
        </w:rPr>
      </w:pPr>
    </w:p>
    <w:p>
      <w:pPr>
        <w:tabs>
          <w:tab w:val="left" w:pos="4920"/>
        </w:tabs>
        <w:spacing w:line="320" w:lineRule="exact"/>
        <w:ind w:right="-201" w:firstLine="4480" w:firstLineChars="1600"/>
        <w:rPr>
          <w:rFonts w:hint="default" w:ascii="Times New Roman" w:hAnsi="Times New Roman" w:eastAsia="仿宋_GB2312" w:cs="Times New Roman"/>
          <w:szCs w:val="21"/>
          <w:lang w:val="en-US" w:eastAsia="zh-CN"/>
        </w:rPr>
      </w:pPr>
      <w:r>
        <w:rPr>
          <w:rFonts w:hint="default" w:ascii="Times New Roman" w:hAnsi="Times New Roman" w:cs="Times New Roman"/>
          <w:szCs w:val="21"/>
        </w:rPr>
        <w:t>数据处理：</w:t>
      </w:r>
      <w:r>
        <w:rPr>
          <w:rFonts w:hint="default" w:ascii="Times New Roman" w:hAnsi="Times New Roman" w:cs="Times New Roman"/>
          <w:szCs w:val="21"/>
          <w:lang w:eastAsia="zh-CN"/>
        </w:rPr>
        <w:t>高嘉聪</w:t>
      </w:r>
      <w:r>
        <w:rPr>
          <w:rFonts w:hint="default" w:ascii="Times New Roman" w:hAnsi="Times New Roman" w:cs="Times New Roman"/>
          <w:szCs w:val="21"/>
          <w:lang w:val="en-US" w:eastAsia="zh-CN"/>
        </w:rPr>
        <w:t xml:space="preserve">  师雅丽</w:t>
      </w:r>
      <w:r>
        <w:rPr>
          <w:rFonts w:hint="eastAsia" w:cs="Times New Roman"/>
          <w:szCs w:val="21"/>
          <w:lang w:val="en-US" w:eastAsia="zh-CN"/>
        </w:rPr>
        <w:t xml:space="preserve">  毕业兴</w:t>
      </w:r>
    </w:p>
    <w:p>
      <w:pPr>
        <w:tabs>
          <w:tab w:val="left" w:pos="4920"/>
        </w:tabs>
        <w:spacing w:line="320" w:lineRule="exact"/>
        <w:ind w:right="-201" w:firstLine="4480" w:firstLineChars="1600"/>
        <w:rPr>
          <w:rFonts w:hint="default" w:ascii="Times New Roman" w:hAnsi="Times New Roman" w:cs="Times New Roman"/>
          <w:szCs w:val="21"/>
          <w:lang w:val="en-US" w:eastAsia="zh-CN"/>
        </w:rPr>
      </w:pPr>
      <w:r>
        <w:rPr>
          <w:rFonts w:hint="default" w:ascii="Times New Roman" w:hAnsi="Times New Roman" w:cs="Times New Roman"/>
          <w:szCs w:val="21"/>
        </w:rPr>
        <w:t>编    制：</w:t>
      </w:r>
      <w:r>
        <w:rPr>
          <w:rFonts w:hint="default" w:ascii="Times New Roman" w:hAnsi="Times New Roman" w:cs="Times New Roman"/>
          <w:szCs w:val="21"/>
          <w:lang w:eastAsia="zh-CN"/>
        </w:rPr>
        <w:t>高嘉聪</w:t>
      </w:r>
      <w:r>
        <w:rPr>
          <w:rFonts w:hint="eastAsia" w:ascii="Times New Roman" w:hAnsi="Times New Roman" w:cs="Times New Roman"/>
          <w:szCs w:val="21"/>
          <w:lang w:val="en-US" w:eastAsia="zh-CN"/>
        </w:rPr>
        <w:t xml:space="preserve">  徐  睿</w:t>
      </w:r>
      <w:r>
        <w:rPr>
          <w:rFonts w:hint="eastAsia" w:cs="Times New Roman"/>
          <w:szCs w:val="21"/>
          <w:lang w:val="en-US" w:eastAsia="zh-CN"/>
        </w:rPr>
        <w:t xml:space="preserve">  金玉哲</w:t>
      </w:r>
    </w:p>
    <w:p>
      <w:pPr>
        <w:tabs>
          <w:tab w:val="left" w:pos="4920"/>
        </w:tabs>
        <w:spacing w:line="320" w:lineRule="exact"/>
        <w:ind w:right="-201" w:firstLine="4480" w:firstLineChars="1600"/>
        <w:rPr>
          <w:rFonts w:hint="default" w:ascii="Times New Roman" w:hAnsi="Times New Roman" w:cs="Times New Roman"/>
          <w:szCs w:val="21"/>
          <w:lang w:eastAsia="zh-CN"/>
        </w:rPr>
      </w:pPr>
      <w:r>
        <w:rPr>
          <w:rFonts w:hint="default" w:ascii="Times New Roman" w:hAnsi="Times New Roman" w:cs="Times New Roman"/>
          <w:szCs w:val="21"/>
          <w:lang w:eastAsia="zh-CN"/>
        </w:rPr>
        <w:t>主</w:t>
      </w:r>
      <w:r>
        <w:rPr>
          <w:rFonts w:hint="default" w:ascii="Times New Roman" w:hAnsi="Times New Roman" w:cs="Times New Roman"/>
          <w:szCs w:val="21"/>
          <w:lang w:val="en-US" w:eastAsia="zh-CN"/>
        </w:rPr>
        <w:t xml:space="preserve">    </w:t>
      </w:r>
      <w:r>
        <w:rPr>
          <w:rFonts w:hint="default" w:ascii="Times New Roman" w:hAnsi="Times New Roman" w:cs="Times New Roman"/>
          <w:szCs w:val="21"/>
          <w:lang w:eastAsia="zh-CN"/>
        </w:rPr>
        <w:t>编：杨国强</w:t>
      </w:r>
    </w:p>
    <w:p>
      <w:pPr>
        <w:tabs>
          <w:tab w:val="left" w:pos="4920"/>
        </w:tabs>
        <w:spacing w:line="320" w:lineRule="exact"/>
        <w:ind w:left="0" w:leftChars="0" w:right="-201" w:firstLine="4480" w:firstLineChars="1600"/>
        <w:rPr>
          <w:rFonts w:hint="default" w:ascii="Times New Roman" w:hAnsi="Times New Roman" w:cs="Times New Roman"/>
          <w:szCs w:val="21"/>
          <w:lang w:eastAsia="zh-CN"/>
        </w:rPr>
      </w:pPr>
      <w:r>
        <w:rPr>
          <w:rFonts w:hint="default" w:ascii="Times New Roman" w:hAnsi="Times New Roman" w:cs="Times New Roman"/>
          <w:szCs w:val="21"/>
          <w:lang w:eastAsia="zh-CN"/>
        </w:rPr>
        <w:t>初</w:t>
      </w:r>
      <w:r>
        <w:rPr>
          <w:rFonts w:hint="default" w:ascii="Times New Roman" w:hAnsi="Times New Roman" w:cs="Times New Roman"/>
          <w:szCs w:val="21"/>
          <w:lang w:val="en-US" w:eastAsia="zh-CN"/>
        </w:rPr>
        <w:t xml:space="preserve">    </w:t>
      </w:r>
      <w:r>
        <w:rPr>
          <w:rFonts w:hint="default" w:ascii="Times New Roman" w:hAnsi="Times New Roman" w:cs="Times New Roman"/>
          <w:szCs w:val="21"/>
          <w:lang w:eastAsia="zh-CN"/>
        </w:rPr>
        <w:t>审：</w:t>
      </w:r>
      <w:r>
        <w:rPr>
          <w:rFonts w:hint="default" w:ascii="Times New Roman" w:hAnsi="Times New Roman" w:cs="Times New Roman"/>
          <w:szCs w:val="21"/>
        </w:rPr>
        <w:t>马丽欣</w:t>
      </w:r>
    </w:p>
    <w:p>
      <w:pPr>
        <w:tabs>
          <w:tab w:val="left" w:pos="4920"/>
        </w:tabs>
        <w:spacing w:line="320" w:lineRule="exact"/>
        <w:ind w:left="0" w:leftChars="0" w:right="-201" w:firstLine="4480" w:firstLineChars="1600"/>
        <w:rPr>
          <w:rFonts w:hint="default" w:ascii="Times New Roman" w:hAnsi="Times New Roman" w:cs="Times New Roman"/>
          <w:szCs w:val="21"/>
          <w:lang w:eastAsia="zh-CN"/>
        </w:rPr>
      </w:pPr>
      <w:r>
        <w:rPr>
          <w:rFonts w:hint="default" w:ascii="Times New Roman" w:hAnsi="Times New Roman" w:cs="Times New Roman"/>
          <w:szCs w:val="21"/>
        </w:rPr>
        <w:t>审    核：</w:t>
      </w:r>
      <w:r>
        <w:rPr>
          <w:rFonts w:hint="default" w:ascii="Times New Roman" w:hAnsi="Times New Roman" w:cs="Times New Roman"/>
          <w:szCs w:val="21"/>
          <w:lang w:eastAsia="zh-CN"/>
        </w:rPr>
        <w:t>刘</w:t>
      </w:r>
      <w:r>
        <w:rPr>
          <w:rFonts w:hint="default" w:ascii="Times New Roman" w:hAnsi="Times New Roman" w:cs="Times New Roman"/>
          <w:szCs w:val="21"/>
          <w:lang w:val="en-US" w:eastAsia="zh-CN"/>
        </w:rPr>
        <w:t xml:space="preserve">  </w:t>
      </w:r>
      <w:r>
        <w:rPr>
          <w:rFonts w:hint="default" w:ascii="Times New Roman" w:hAnsi="Times New Roman" w:cs="Times New Roman"/>
          <w:szCs w:val="21"/>
          <w:lang w:eastAsia="zh-CN"/>
        </w:rPr>
        <w:t>洋</w:t>
      </w:r>
    </w:p>
    <w:p>
      <w:pPr>
        <w:tabs>
          <w:tab w:val="left" w:pos="4920"/>
        </w:tabs>
        <w:spacing w:line="320" w:lineRule="exact"/>
        <w:ind w:left="0" w:leftChars="0" w:right="-201" w:firstLine="4480" w:firstLineChars="1600"/>
        <w:rPr>
          <w:rFonts w:hint="default" w:ascii="Times New Roman" w:hAnsi="Times New Roman" w:eastAsia="仿宋_GB2312" w:cs="Times New Roman"/>
          <w:lang w:val="en" w:eastAsia="zh-CN"/>
        </w:rPr>
      </w:pPr>
      <w:r>
        <w:rPr>
          <w:rFonts w:hint="default" w:ascii="Times New Roman" w:hAnsi="Times New Roman" w:cs="Times New Roman"/>
          <w:szCs w:val="21"/>
        </w:rPr>
        <w:t xml:space="preserve">审   </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定：</w:t>
      </w:r>
      <w:r>
        <w:rPr>
          <w:rFonts w:hint="default" w:ascii="Times New Roman" w:hAnsi="Times New Roman" w:cs="Times New Roman"/>
          <w:szCs w:val="21"/>
          <w:lang w:eastAsia="zh-CN"/>
        </w:rPr>
        <w:t>陈学伟</w:t>
      </w:r>
    </w:p>
    <w:sectPr>
      <w:footerReference r:id="rId7" w:type="default"/>
      <w:pgSz w:w="11906" w:h="16838"/>
      <w:pgMar w:top="1984" w:right="1417" w:bottom="1701" w:left="1701" w:header="851" w:footer="992" w:gutter="0"/>
      <w:pgBorders>
        <w:top w:val="none" w:sz="0" w:space="0"/>
        <w:left w:val="none" w:sz="0" w:space="0"/>
        <w:bottom w:val="none" w:sz="0" w:space="0"/>
        <w:right w:val="none" w:sz="0" w:space="0"/>
      </w:pgBorders>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方正细黑一简体">
    <w:altName w:val="黑体"/>
    <w:panose1 w:val="03000509000000000000"/>
    <w:charset w:val="86"/>
    <w:family w:val="script"/>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汉仪旗黑-55简">
    <w:altName w:val="黑体"/>
    <w:panose1 w:val="00020600040101010101"/>
    <w:charset w:val="86"/>
    <w:family w:val="auto"/>
    <w:pitch w:val="default"/>
    <w:sig w:usb0="00000000" w:usb1="00000000" w:usb2="00000000" w:usb3="00000000" w:csb0="00000000" w:csb1="00000000"/>
  </w:font>
  <w:font w:name="CESI仿宋-GB2312">
    <w:altName w:val="仿宋"/>
    <w:panose1 w:val="02000500000000000000"/>
    <w:charset w:val="86"/>
    <w:family w:val="auto"/>
    <w:pitch w:val="default"/>
    <w:sig w:usb0="00000000" w:usb1="00000000" w:usb2="00000010"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BlN2NjZjk4OWMwYjgyMTc3MzBkZjI1ZDc3MjFhMTAifQ=="/>
  </w:docVars>
  <w:rsids>
    <w:rsidRoot w:val="00000000"/>
    <w:rsid w:val="00193F72"/>
    <w:rsid w:val="01337080"/>
    <w:rsid w:val="027E0B66"/>
    <w:rsid w:val="031563B2"/>
    <w:rsid w:val="04AD7A0E"/>
    <w:rsid w:val="062C3BE5"/>
    <w:rsid w:val="0937013D"/>
    <w:rsid w:val="0A324FE9"/>
    <w:rsid w:val="0AED7D5C"/>
    <w:rsid w:val="0BD8339D"/>
    <w:rsid w:val="0E090F42"/>
    <w:rsid w:val="100042A8"/>
    <w:rsid w:val="11334316"/>
    <w:rsid w:val="130D03AF"/>
    <w:rsid w:val="136F6B12"/>
    <w:rsid w:val="13DC0403"/>
    <w:rsid w:val="15036159"/>
    <w:rsid w:val="18707FD0"/>
    <w:rsid w:val="1A8D3471"/>
    <w:rsid w:val="1B6E330A"/>
    <w:rsid w:val="1BB072F1"/>
    <w:rsid w:val="1E5A7695"/>
    <w:rsid w:val="1FF57B4A"/>
    <w:rsid w:val="200C6623"/>
    <w:rsid w:val="23B25821"/>
    <w:rsid w:val="26CB6635"/>
    <w:rsid w:val="28E038AD"/>
    <w:rsid w:val="296F201F"/>
    <w:rsid w:val="2A636365"/>
    <w:rsid w:val="2BBA3F58"/>
    <w:rsid w:val="2DB16940"/>
    <w:rsid w:val="2E5324E4"/>
    <w:rsid w:val="32881AE0"/>
    <w:rsid w:val="35D24FE8"/>
    <w:rsid w:val="36C36518"/>
    <w:rsid w:val="3777CB4C"/>
    <w:rsid w:val="378F0F4B"/>
    <w:rsid w:val="37EB349D"/>
    <w:rsid w:val="3A8B5F88"/>
    <w:rsid w:val="3AFD381E"/>
    <w:rsid w:val="3D6F7152"/>
    <w:rsid w:val="3DCD14EF"/>
    <w:rsid w:val="3F552354"/>
    <w:rsid w:val="3FFF2259"/>
    <w:rsid w:val="41A00CDA"/>
    <w:rsid w:val="42C15316"/>
    <w:rsid w:val="43157056"/>
    <w:rsid w:val="437957BF"/>
    <w:rsid w:val="45112DCB"/>
    <w:rsid w:val="462423DD"/>
    <w:rsid w:val="46A60DA1"/>
    <w:rsid w:val="47507585"/>
    <w:rsid w:val="47ED3FC8"/>
    <w:rsid w:val="4C2C0063"/>
    <w:rsid w:val="4C7632AE"/>
    <w:rsid w:val="4EDE483E"/>
    <w:rsid w:val="4F501D92"/>
    <w:rsid w:val="4F7057AA"/>
    <w:rsid w:val="500F480F"/>
    <w:rsid w:val="51131643"/>
    <w:rsid w:val="52222322"/>
    <w:rsid w:val="56700E1E"/>
    <w:rsid w:val="580E6F7A"/>
    <w:rsid w:val="5AFF6485"/>
    <w:rsid w:val="5B67CDBD"/>
    <w:rsid w:val="5BDD300C"/>
    <w:rsid w:val="5BF63937"/>
    <w:rsid w:val="5CFC7E98"/>
    <w:rsid w:val="5DBF8DF7"/>
    <w:rsid w:val="5DFA2A6D"/>
    <w:rsid w:val="5E5C7F47"/>
    <w:rsid w:val="5FBD28B8"/>
    <w:rsid w:val="5FCFD2D7"/>
    <w:rsid w:val="60332ACF"/>
    <w:rsid w:val="621C4B80"/>
    <w:rsid w:val="64A80D17"/>
    <w:rsid w:val="68B00C7F"/>
    <w:rsid w:val="69D16A77"/>
    <w:rsid w:val="6B573FE6"/>
    <w:rsid w:val="6DE033B6"/>
    <w:rsid w:val="6EFF059B"/>
    <w:rsid w:val="6FFFD1CF"/>
    <w:rsid w:val="71071C4F"/>
    <w:rsid w:val="711D0409"/>
    <w:rsid w:val="71353D0D"/>
    <w:rsid w:val="71BC610B"/>
    <w:rsid w:val="730D3268"/>
    <w:rsid w:val="74491F24"/>
    <w:rsid w:val="74AD3C62"/>
    <w:rsid w:val="74E15C50"/>
    <w:rsid w:val="74FFA268"/>
    <w:rsid w:val="762F4CE2"/>
    <w:rsid w:val="76A208AF"/>
    <w:rsid w:val="76FB7B81"/>
    <w:rsid w:val="77FF11A0"/>
    <w:rsid w:val="77FFFF7D"/>
    <w:rsid w:val="7AEF3848"/>
    <w:rsid w:val="7B245265"/>
    <w:rsid w:val="7B4B726F"/>
    <w:rsid w:val="7D005BB1"/>
    <w:rsid w:val="7DEFBA72"/>
    <w:rsid w:val="7DFF4975"/>
    <w:rsid w:val="7E77CD7F"/>
    <w:rsid w:val="7EFF4183"/>
    <w:rsid w:val="7F3A613B"/>
    <w:rsid w:val="7FED63FC"/>
    <w:rsid w:val="8F9F8207"/>
    <w:rsid w:val="B57700A8"/>
    <w:rsid w:val="BABF872F"/>
    <w:rsid w:val="BCDF7ACE"/>
    <w:rsid w:val="BEFF8907"/>
    <w:rsid w:val="CD1EB2CA"/>
    <w:rsid w:val="DFC3C8EA"/>
    <w:rsid w:val="E96E141A"/>
    <w:rsid w:val="EEDD9441"/>
    <w:rsid w:val="F3FBD771"/>
    <w:rsid w:val="F79CA90E"/>
    <w:rsid w:val="F7DF3054"/>
    <w:rsid w:val="F7EF516A"/>
    <w:rsid w:val="FCEFF41F"/>
    <w:rsid w:val="FD7A07BA"/>
    <w:rsid w:val="FE423D76"/>
    <w:rsid w:val="FE5D42AA"/>
    <w:rsid w:val="FEF5256B"/>
    <w:rsid w:val="FF63AFCF"/>
    <w:rsid w:val="FF6DF84A"/>
    <w:rsid w:val="FFD57853"/>
    <w:rsid w:val="FFFFE5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0" w:firstLineChars="0"/>
      <w:jc w:val="both"/>
    </w:pPr>
    <w:rPr>
      <w:rFonts w:ascii="Times New Roman" w:hAnsi="Times New Roman" w:eastAsia="仿宋_GB2312" w:cs="Times New Roman"/>
      <w:kern w:val="2"/>
      <w:sz w:val="28"/>
      <w:szCs w:val="24"/>
      <w:lang w:val="en-US" w:eastAsia="zh-CN" w:bidi="ar-SA"/>
    </w:rPr>
  </w:style>
  <w:style w:type="paragraph" w:styleId="2">
    <w:name w:val="heading 1"/>
    <w:basedOn w:val="1"/>
    <w:next w:val="1"/>
    <w:qFormat/>
    <w:uiPriority w:val="0"/>
    <w:pPr>
      <w:keepNext/>
      <w:keepLines/>
      <w:spacing w:before="220" w:beforeLines="0" w:beforeAutospacing="0" w:after="210" w:afterLines="0" w:afterAutospacing="0" w:line="360" w:lineRule="auto"/>
      <w:outlineLvl w:val="0"/>
    </w:pPr>
    <w:rPr>
      <w:rFonts w:eastAsia="楷体_GB2312"/>
      <w:b/>
      <w:kern w:val="44"/>
      <w:sz w:val="28"/>
    </w:rPr>
  </w:style>
  <w:style w:type="paragraph" w:styleId="3">
    <w:name w:val="heading 2"/>
    <w:basedOn w:val="1"/>
    <w:next w:val="1"/>
    <w:unhideWhenUsed/>
    <w:qFormat/>
    <w:uiPriority w:val="0"/>
    <w:pPr>
      <w:keepNext/>
      <w:keepLines/>
      <w:spacing w:before="140" w:beforeLines="0" w:beforeAutospacing="0" w:after="140" w:afterLines="0" w:afterAutospacing="0" w:line="360" w:lineRule="auto"/>
      <w:outlineLvl w:val="1"/>
    </w:pPr>
    <w:rPr>
      <w:rFonts w:ascii="Arial" w:hAnsi="Arial" w:eastAsia="楷体_GB2312"/>
      <w:b/>
    </w:rPr>
  </w:style>
  <w:style w:type="paragraph" w:styleId="4">
    <w:name w:val="heading 3"/>
    <w:basedOn w:val="1"/>
    <w:next w:val="1"/>
    <w:link w:val="14"/>
    <w:unhideWhenUsed/>
    <w:qFormat/>
    <w:uiPriority w:val="0"/>
    <w:pPr>
      <w:keepNext/>
      <w:keepLines/>
      <w:spacing w:before="260" w:beforeLines="0" w:beforeAutospacing="0" w:after="260" w:afterLines="0" w:afterAutospacing="0" w:line="413" w:lineRule="auto"/>
      <w:outlineLvl w:val="2"/>
    </w:pPr>
    <w:rPr>
      <w:b/>
      <w:sz w:val="24"/>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toc 3"/>
    <w:basedOn w:val="1"/>
    <w:next w:val="1"/>
    <w:qFormat/>
    <w:uiPriority w:val="0"/>
    <w:pPr>
      <w:ind w:left="840" w:leftChars="400"/>
    </w:pPr>
  </w:style>
  <w:style w:type="paragraph" w:styleId="6">
    <w:name w:val="footer"/>
    <w:basedOn w:val="1"/>
    <w:qFormat/>
    <w:uiPriority w:val="99"/>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0"/>
  </w:style>
  <w:style w:type="paragraph" w:styleId="9">
    <w:name w:val="toc 2"/>
    <w:basedOn w:val="1"/>
    <w:next w:val="1"/>
    <w:qFormat/>
    <w:uiPriority w:val="39"/>
    <w:pPr>
      <w:ind w:left="420" w:leftChars="200"/>
    </w:pPr>
    <w:rPr>
      <w:rFonts w:ascii="Calibri" w:hAnsi="Calibri"/>
      <w:szCs w:val="22"/>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qFormat/>
    <w:uiPriority w:val="99"/>
    <w:rPr>
      <w:color w:val="0563C1"/>
      <w:u w:val="single"/>
    </w:rPr>
  </w:style>
  <w:style w:type="character" w:customStyle="1" w:styleId="14">
    <w:name w:val="标题 3 Char"/>
    <w:link w:val="4"/>
    <w:qFormat/>
    <w:uiPriority w:val="0"/>
    <w:rPr>
      <w:b/>
      <w:sz w:val="24"/>
    </w:rPr>
  </w:style>
  <w:style w:type="table" w:customStyle="1" w:styleId="15">
    <w:name w:val="质报书表格5"/>
    <w:basedOn w:val="10"/>
    <w:qFormat/>
    <w:uiPriority w:val="0"/>
    <w:pPr>
      <w:adjustRightInd w:val="0"/>
      <w:snapToGrid w:val="0"/>
      <w:jc w:val="center"/>
    </w:pPr>
    <w:rPr>
      <w:rFonts w:eastAsia="方正细黑一简体"/>
      <w:sz w:val="18"/>
    </w:rPr>
    <w:tblPr>
      <w:jc w:val="center"/>
      <w:tblBorders>
        <w:insideH w:val="single" w:color="auto" w:sz="2" w:space="0"/>
        <w:insideV w:val="single" w:color="auto" w:sz="2" w:space="0"/>
      </w:tblBorders>
      <w:tblCellMar>
        <w:left w:w="0" w:type="dxa"/>
        <w:right w:w="0" w:type="dxa"/>
      </w:tblCellMar>
    </w:tblPr>
    <w:trPr>
      <w:jc w:val="center"/>
    </w:trPr>
    <w:tcPr>
      <w:shd w:val="clear" w:color="auto" w:fill="auto"/>
      <w:vAlign w:val="center"/>
    </w:tcPr>
    <w:tblStylePr w:type="firstRow">
      <w:pPr>
        <w:jc w:val="center"/>
      </w:pPr>
      <w:rPr>
        <w:rFonts w:eastAsia="方正细黑一简体"/>
        <w:b w:val="0"/>
        <w:sz w:val="18"/>
      </w:rPr>
      <w:tcPr>
        <w:tcBorders>
          <w:top w:val="single" w:color="auto" w:sz="6" w:space="0"/>
          <w:bottom w:val="single" w:color="auto" w:sz="6" w:space="0"/>
        </w:tcBorders>
        <w:shd w:val="clear" w:color="auto" w:fill="E6E6E6"/>
      </w:tcPr>
    </w:tblStylePr>
    <w:tblStylePr w:type="lastRow">
      <w:pPr>
        <w:jc w:val="center"/>
      </w:pPr>
      <w:rPr>
        <w:rFonts w:eastAsia="方正细黑一简体"/>
        <w:b/>
        <w:sz w:val="18"/>
      </w:rPr>
      <w:tcPr>
        <w:tcBorders>
          <w:bottom w:val="single" w:color="auto" w:sz="6" w:space="0"/>
        </w:tcBorders>
        <w:shd w:val="clear" w:color="auto" w:fill="E6E6E6"/>
      </w:tcPr>
    </w:tblStyle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chart" Target="charts/chart9.xml"/><Relationship Id="rId16" Type="http://schemas.openxmlformats.org/officeDocument/2006/relationships/chart" Target="charts/chart8.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5" Type="http://schemas.microsoft.com/office/2011/relationships/chartColorStyle" Target="colors1.xml"/><Relationship Id="rId4" Type="http://schemas.microsoft.com/office/2011/relationships/chartStyle" Target="style1.xml"/><Relationship Id="rId3" Type="http://schemas.openxmlformats.org/officeDocument/2006/relationships/image" Target="../media/image1.png"/><Relationship Id="rId2" Type="http://schemas.openxmlformats.org/officeDocument/2006/relationships/themeOverride" Target="../theme/themeOverride1.xml"/><Relationship Id="rId1" Type="http://schemas.openxmlformats.org/officeDocument/2006/relationships/oleObject" Target="file:///D:\&#39640;&#22025;&#32874;&#27745;&#26579;&#28304;\2022&#24180;&#21513;&#26519;&#30465;&#25191;&#27861;&#30417;&#27979;&#25968;&#25454;\2022&#24180;&#21513;&#26519;&#30465;&#25191;&#27861;&#30417;&#27979;&#25968;&#25454;\&#38468;&#22270;&#24635;&#34920;.xlsx" TargetMode="External"/></Relationships>
</file>

<file path=word/charts/_rels/chart2.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themeOverride" Target="../theme/themeOverride2.xml"/><Relationship Id="rId1" Type="http://schemas.openxmlformats.org/officeDocument/2006/relationships/oleObject" Target="file:///C:\Users\lenovo\Documents\WeChat%20Files\wxid_fnlk4ieepn2l22\FileStorage\File\2023-01\&#38468;&#22270;&#24635;&#34920;.xlsx" TargetMode="External"/></Relationships>
</file>

<file path=word/charts/_rels/chart3.xml.rels><?xml version="1.0" encoding="UTF-8" standalone="yes"?>
<Relationships xmlns="http://schemas.openxmlformats.org/package/2006/relationships"><Relationship Id="rId4" Type="http://schemas.microsoft.com/office/2011/relationships/chartColorStyle" Target="colors3.xml"/><Relationship Id="rId3" Type="http://schemas.microsoft.com/office/2011/relationships/chartStyle" Target="style3.xml"/><Relationship Id="rId2" Type="http://schemas.openxmlformats.org/officeDocument/2006/relationships/themeOverride" Target="../theme/themeOverride3.xml"/><Relationship Id="rId1" Type="http://schemas.openxmlformats.org/officeDocument/2006/relationships/oleObject" Target="file:///D:\&#39640;&#22025;&#32874;&#27745;&#26579;&#28304;\2022&#24180;&#21513;&#26519;&#30465;&#25191;&#27861;&#30417;&#27979;&#25968;&#25454;\2022&#24180;&#21513;&#26519;&#30465;&#25191;&#27861;&#30417;&#27979;&#25968;&#25454;\&#38468;&#22270;&#24635;&#34920;.xlsx" TargetMode="External"/></Relationships>
</file>

<file path=word/charts/_rels/chart4.xml.rels><?xml version="1.0" encoding="UTF-8" standalone="yes"?>
<Relationships xmlns="http://schemas.openxmlformats.org/package/2006/relationships"><Relationship Id="rId2" Type="http://schemas.openxmlformats.org/officeDocument/2006/relationships/themeOverride" Target="../theme/themeOverride4.xml"/><Relationship Id="rId1" Type="http://schemas.openxmlformats.org/officeDocument/2006/relationships/oleObject" Target="file:///D:\&#39640;&#22025;&#32874;&#27745;&#26579;&#28304;\2022&#24180;&#21513;&#26519;&#30465;&#25191;&#27861;&#30417;&#27979;&#25968;&#25454;\2022&#24180;&#21513;&#26519;&#30465;&#25191;&#27861;&#30417;&#27979;&#25968;&#25454;\&#38468;&#22270;&#24635;&#34920;.xlsx" TargetMode="External"/></Relationships>
</file>

<file path=word/charts/_rels/chart5.xml.rels><?xml version="1.0" encoding="UTF-8" standalone="yes"?>
<Relationships xmlns="http://schemas.openxmlformats.org/package/2006/relationships"><Relationship Id="rId5" Type="http://schemas.microsoft.com/office/2011/relationships/chartColorStyle" Target="colors4.xml"/><Relationship Id="rId4" Type="http://schemas.microsoft.com/office/2011/relationships/chartStyle" Target="style4.xml"/><Relationship Id="rId3" Type="http://schemas.openxmlformats.org/officeDocument/2006/relationships/image" Target="../media/image1.png"/><Relationship Id="rId2" Type="http://schemas.openxmlformats.org/officeDocument/2006/relationships/themeOverride" Target="../theme/themeOverride5.xml"/><Relationship Id="rId1" Type="http://schemas.openxmlformats.org/officeDocument/2006/relationships/oleObject" Target="file:///D:\&#39640;&#22025;&#32874;&#27745;&#26579;&#28304;\2022&#24180;&#21513;&#26519;&#30465;&#25191;&#27861;&#30417;&#27979;&#25968;&#25454;\2022&#24180;&#21513;&#26519;&#30465;&#25191;&#27861;&#30417;&#27979;&#25968;&#25454;\&#38468;&#22270;&#24635;&#34920;.xlsx" TargetMode="External"/></Relationships>
</file>

<file path=word/charts/_rels/chart6.xml.rels><?xml version="1.0" encoding="UTF-8" standalone="yes"?>
<Relationships xmlns="http://schemas.openxmlformats.org/package/2006/relationships"><Relationship Id="rId4" Type="http://schemas.microsoft.com/office/2011/relationships/chartColorStyle" Target="colors5.xml"/><Relationship Id="rId3" Type="http://schemas.microsoft.com/office/2011/relationships/chartStyle" Target="style5.xml"/><Relationship Id="rId2" Type="http://schemas.openxmlformats.org/officeDocument/2006/relationships/themeOverride" Target="../theme/themeOverride6.xml"/><Relationship Id="rId1" Type="http://schemas.openxmlformats.org/officeDocument/2006/relationships/oleObject" Target="file:///C:\Users\lenovo\Documents\WeChat%20Files\wxid_fnlk4ieepn2l22\FileStorage\File\2023-01\&#38468;&#22270;&#24635;&#34920;.xlsx" TargetMode="External"/></Relationships>
</file>

<file path=word/charts/_rels/chart7.xml.rels><?xml version="1.0" encoding="UTF-8" standalone="yes"?>
<Relationships xmlns="http://schemas.openxmlformats.org/package/2006/relationships"><Relationship Id="rId4" Type="http://schemas.microsoft.com/office/2011/relationships/chartColorStyle" Target="colors6.xml"/><Relationship Id="rId3" Type="http://schemas.microsoft.com/office/2011/relationships/chartStyle" Target="style6.xml"/><Relationship Id="rId2" Type="http://schemas.openxmlformats.org/officeDocument/2006/relationships/themeOverride" Target="../theme/themeOverride7.xml"/><Relationship Id="rId1" Type="http://schemas.openxmlformats.org/officeDocument/2006/relationships/oleObject" Target="file:///D:\&#39640;&#22025;&#32874;&#27745;&#26579;&#28304;\2022&#24180;&#21513;&#26519;&#30465;&#25191;&#27861;&#30417;&#27979;&#25968;&#25454;\2022&#24180;&#21513;&#26519;&#30465;&#25191;&#27861;&#30417;&#27979;&#25968;&#25454;\&#38468;&#22270;&#24635;&#34920;.xlsx" TargetMode="External"/></Relationships>
</file>

<file path=word/charts/_rels/chart8.xml.rels><?xml version="1.0" encoding="UTF-8" standalone="yes"?>
<Relationships xmlns="http://schemas.openxmlformats.org/package/2006/relationships"><Relationship Id="rId2" Type="http://schemas.openxmlformats.org/officeDocument/2006/relationships/themeOverride" Target="../theme/themeOverride8.xml"/><Relationship Id="rId1" Type="http://schemas.openxmlformats.org/officeDocument/2006/relationships/oleObject" Target="file:///D:\&#39640;&#22025;&#32874;&#27745;&#26579;&#28304;\2022&#24180;&#21513;&#26519;&#30465;&#25191;&#27861;&#30417;&#27979;&#25968;&#25454;\2022&#24180;&#21513;&#26519;&#30465;&#25191;&#27861;&#30417;&#27979;&#25968;&#25454;\&#38468;&#22270;&#24635;&#34920;.xlsx" TargetMode="External"/></Relationships>
</file>

<file path=word/charts/_rels/chart9.xml.rels><?xml version="1.0" encoding="UTF-8" standalone="yes"?>
<Relationships xmlns="http://schemas.openxmlformats.org/package/2006/relationships"><Relationship Id="rId2" Type="http://schemas.openxmlformats.org/officeDocument/2006/relationships/themeOverride" Target="../theme/themeOverride9.xml"/><Relationship Id="rId1" Type="http://schemas.openxmlformats.org/officeDocument/2006/relationships/oleObject" Target="file:///D:\&#39640;&#22025;&#32874;&#27745;&#26579;&#28304;\2022&#24180;&#21513;&#26519;&#30465;&#25191;&#27861;&#30417;&#27979;&#25968;&#25454;\2022&#24180;&#21513;&#26519;&#30465;&#25191;&#27861;&#30417;&#27979;&#25968;&#25454;\&#38468;&#22270;&#24635;&#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5095979717494"/>
          <c:y val="0.0606994020655916"/>
          <c:w val="0.754118281898014"/>
          <c:h val="0.68309476354412"/>
        </c:manualLayout>
      </c:layout>
      <c:barChart>
        <c:barDir val="col"/>
        <c:grouping val="clustered"/>
        <c:varyColors val="0"/>
        <c:ser>
          <c:idx val="0"/>
          <c:order val="0"/>
          <c:spPr>
            <a:blipFill>
              <a:blip xmlns:r="http://schemas.openxmlformats.org/officeDocument/2006/relationships" r:embed="rId3"/>
              <a:stretch>
                <a:fillRect/>
              </a:stretch>
            </a:blipFill>
            <a:ln>
              <a:noFill/>
            </a:ln>
            <a:effectLst>
              <a:outerShdw blurRad="76200" dir="13500000" sx="62000" sy="62000" kx="1200000" algn="br" rotWithShape="0">
                <a:prstClr val="black">
                  <a:alpha val="20000"/>
                </a:prstClr>
              </a:outerShdw>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800" b="0" i="0" u="none" strike="noStrike" kern="1200" baseline="0">
                    <a:solidFill>
                      <a:schemeClr val="tx1">
                        <a:lumMod val="75000"/>
                        <a:lumOff val="2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'[附图总表.xlsx]图-1'!$C$2:$C$12</c:f>
              <c:strCache>
                <c:ptCount val="11"/>
                <c:pt idx="0">
                  <c:v>长春市</c:v>
                </c:pt>
                <c:pt idx="1">
                  <c:v>吉林市</c:v>
                </c:pt>
                <c:pt idx="2">
                  <c:v>四平市</c:v>
                </c:pt>
                <c:pt idx="3">
                  <c:v>辽源市</c:v>
                </c:pt>
                <c:pt idx="4">
                  <c:v>通化市</c:v>
                </c:pt>
                <c:pt idx="5">
                  <c:v>白山市</c:v>
                </c:pt>
                <c:pt idx="6">
                  <c:v>松原市</c:v>
                </c:pt>
                <c:pt idx="7">
                  <c:v>白城市</c:v>
                </c:pt>
                <c:pt idx="8">
                  <c:v>延边州</c:v>
                </c:pt>
                <c:pt idx="9">
                  <c:v>长白山管委会</c:v>
                </c:pt>
                <c:pt idx="10">
                  <c:v>梅河口市</c:v>
                </c:pt>
              </c:strCache>
            </c:strRef>
          </c:cat>
          <c:val>
            <c:numRef>
              <c:f>'[附图总表.xlsx]图-1'!$D$2:$D$12</c:f>
              <c:numCache>
                <c:formatCode>0.0%</c:formatCode>
                <c:ptCount val="11"/>
                <c:pt idx="0">
                  <c:v>1</c:v>
                </c:pt>
                <c:pt idx="1">
                  <c:v>1</c:v>
                </c:pt>
                <c:pt idx="2">
                  <c:v>1</c:v>
                </c:pt>
                <c:pt idx="3">
                  <c:v>1</c:v>
                </c:pt>
                <c:pt idx="4">
                  <c:v>1</c:v>
                </c:pt>
                <c:pt idx="5">
                  <c:v>1</c:v>
                </c:pt>
                <c:pt idx="6">
                  <c:v>1</c:v>
                </c:pt>
                <c:pt idx="7">
                  <c:v>1</c:v>
                </c:pt>
                <c:pt idx="8">
                  <c:v>1</c:v>
                </c:pt>
                <c:pt idx="9">
                  <c:v>1</c:v>
                </c:pt>
                <c:pt idx="10">
                  <c:v>1</c:v>
                </c:pt>
              </c:numCache>
            </c:numRef>
          </c:val>
        </c:ser>
        <c:dLbls>
          <c:showLegendKey val="0"/>
          <c:showVal val="0"/>
          <c:showCatName val="0"/>
          <c:showSerName val="0"/>
          <c:showPercent val="0"/>
          <c:showBubbleSize val="0"/>
        </c:dLbls>
        <c:gapWidth val="150"/>
        <c:overlap val="-30"/>
        <c:axId val="818503111"/>
        <c:axId val="763601414"/>
      </c:barChart>
      <c:catAx>
        <c:axId val="818503111"/>
        <c:scaling>
          <c:orientation val="minMax"/>
        </c:scaling>
        <c:delete val="0"/>
        <c:axPos val="b"/>
        <c:majorGridlines>
          <c:spPr>
            <a:ln w="9525" cap="flat" cmpd="sng" algn="ctr">
              <a:solidFill>
                <a:schemeClr val="bg1">
                  <a:lumMod val="95000"/>
                </a:schemeClr>
              </a:solidFill>
              <a:round/>
            </a:ln>
            <a:effectLst/>
          </c:spPr>
        </c:majorGridlines>
        <c:numFmt formatCode="General" sourceLinked="1"/>
        <c:majorTickMark val="out"/>
        <c:minorTickMark val="none"/>
        <c:tickLblPos val="nextTo"/>
        <c:spPr>
          <a:noFill/>
          <a:ln w="12700" cap="flat" cmpd="sng" algn="ctr">
            <a:solidFill>
              <a:sysClr val="windowText" lastClr="000000"/>
            </a:solidFill>
            <a:prstDash val="solid"/>
            <a:round/>
          </a:ln>
          <a:effectLst/>
        </c:spPr>
        <c:txPr>
          <a:bodyPr rot="0" spcFirstLastPara="0" vertOverflow="ellipsis" vert="eaVert" wrap="square" anchor="ctr" anchorCtr="1" forceAA="0"/>
          <a:lstStyle/>
          <a:p>
            <a:pPr>
              <a:defRPr lang="zh-CN" sz="1000" b="0" i="0" u="none" strike="noStrike" kern="1200" baseline="0">
                <a:solidFill>
                  <a:schemeClr val="tx1">
                    <a:lumMod val="65000"/>
                    <a:lumOff val="3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crossAx val="763601414"/>
        <c:crosses val="autoZero"/>
        <c:auto val="1"/>
        <c:lblAlgn val="ctr"/>
        <c:lblOffset val="100"/>
        <c:noMultiLvlLbl val="0"/>
      </c:catAx>
      <c:valAx>
        <c:axId val="763601414"/>
        <c:scaling>
          <c:orientation val="minMax"/>
          <c:max val="1"/>
        </c:scaling>
        <c:delete val="0"/>
        <c:axPos val="l"/>
        <c:numFmt formatCode="0.0%" sourceLinked="1"/>
        <c:majorTickMark val="out"/>
        <c:minorTickMark val="none"/>
        <c:tickLblPos val="nextTo"/>
        <c:spPr>
          <a:noFill/>
          <a:ln w="12700" cmpd="sng">
            <a:solidFill>
              <a:sysClr val="windowText" lastClr="000000"/>
            </a:solidFill>
            <a:prstDash val="solid"/>
          </a:ln>
          <a:effectLst/>
        </c:spPr>
        <c:txPr>
          <a:bodyPr rot="-60000000" spcFirstLastPara="0" vertOverflow="ellipsis" vert="horz" wrap="square" anchor="ctr" anchorCtr="1" forceAA="0"/>
          <a:lstStyle/>
          <a:p>
            <a:pPr>
              <a:defRPr lang="zh-CN" sz="1000" b="0" i="0" u="none" strike="noStrike" kern="1200" baseline="0">
                <a:solidFill>
                  <a:schemeClr val="tx1">
                    <a:lumMod val="65000"/>
                    <a:lumOff val="3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crossAx val="818503111"/>
        <c:crosses val="autoZero"/>
        <c:crossBetween val="between"/>
        <c:majorUnit val="0.2"/>
      </c:valAx>
      <c:spPr>
        <a:noFill/>
        <a:ln>
          <a:noFill/>
        </a:ln>
        <a:effectLst/>
      </c:spPr>
    </c:plotArea>
    <c:plotVisOnly val="1"/>
    <c:dispBlanksAs val="gap"/>
    <c:showDLblsOverMax val="0"/>
  </c:chart>
  <c:spPr>
    <a:noFill/>
    <a:ln w="60325" cap="flat" cmpd="sng" algn="ctr">
      <a:noFill/>
      <a:round/>
    </a:ln>
    <a:effectLst/>
  </c:spPr>
  <c:txPr>
    <a:bodyPr anchor="ctr"/>
    <a:lstStyle/>
    <a:p>
      <a:pPr>
        <a:defRPr lang="zh-CN" sz="1000">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2493224932249"/>
          <c:y val="0.136681335749418"/>
          <c:w val="0.839214092140921"/>
          <c:h val="0.558995599275175"/>
        </c:manualLayout>
      </c:layout>
      <c:barChart>
        <c:barDir val="col"/>
        <c:grouping val="clustered"/>
        <c:varyColors val="0"/>
        <c:ser>
          <c:idx val="0"/>
          <c:order val="0"/>
          <c:tx>
            <c:strRef>
              <c:f>'[附图总表.xlsx]图2-2'!$C$1</c:f>
              <c:strCache>
                <c:ptCount val="1"/>
                <c:pt idx="0">
                  <c:v>综合达标率</c:v>
                </c:pt>
              </c:strCache>
            </c:strRef>
          </c:tx>
          <c:spPr>
            <a:solidFill>
              <a:srgbClr val="B06D6F"/>
            </a:solidFill>
            <a:ln>
              <a:noFill/>
            </a:ln>
            <a:effectLst/>
          </c:spPr>
          <c:invertIfNegative val="0"/>
          <c:dLbls>
            <c:delete val="1"/>
          </c:dLbls>
          <c:cat>
            <c:strRef>
              <c:f>'[附图总表.xlsx]图2-2'!$B$2:$B$12</c:f>
              <c:strCache>
                <c:ptCount val="11"/>
                <c:pt idx="0">
                  <c:v>长春市</c:v>
                </c:pt>
                <c:pt idx="1">
                  <c:v>吉林市</c:v>
                </c:pt>
                <c:pt idx="2">
                  <c:v>四平市</c:v>
                </c:pt>
                <c:pt idx="3">
                  <c:v>辽源市</c:v>
                </c:pt>
                <c:pt idx="4">
                  <c:v>通化市</c:v>
                </c:pt>
                <c:pt idx="5">
                  <c:v>白山市</c:v>
                </c:pt>
                <c:pt idx="6">
                  <c:v>松原市</c:v>
                </c:pt>
                <c:pt idx="7">
                  <c:v>白城市</c:v>
                </c:pt>
                <c:pt idx="8">
                  <c:v>延边州</c:v>
                </c:pt>
                <c:pt idx="9">
                  <c:v>长白山管委会</c:v>
                </c:pt>
                <c:pt idx="10">
                  <c:v>梅河口市</c:v>
                </c:pt>
              </c:strCache>
            </c:strRef>
          </c:cat>
          <c:val>
            <c:numRef>
              <c:f>'[附图总表.xlsx]图2-2'!$C$2:$C$12</c:f>
              <c:numCache>
                <c:formatCode>0.0%</c:formatCode>
                <c:ptCount val="11"/>
                <c:pt idx="0">
                  <c:v>1</c:v>
                </c:pt>
                <c:pt idx="1">
                  <c:v>1</c:v>
                </c:pt>
                <c:pt idx="2">
                  <c:v>1</c:v>
                </c:pt>
                <c:pt idx="3">
                  <c:v>1</c:v>
                </c:pt>
                <c:pt idx="4">
                  <c:v>1</c:v>
                </c:pt>
                <c:pt idx="5">
                  <c:v>1</c:v>
                </c:pt>
                <c:pt idx="6">
                  <c:v>1</c:v>
                </c:pt>
                <c:pt idx="7">
                  <c:v>1</c:v>
                </c:pt>
                <c:pt idx="8">
                  <c:v>1</c:v>
                </c:pt>
                <c:pt idx="9">
                  <c:v>1</c:v>
                </c:pt>
                <c:pt idx="10">
                  <c:v>1</c:v>
                </c:pt>
              </c:numCache>
            </c:numRef>
          </c:val>
        </c:ser>
        <c:ser>
          <c:idx val="1"/>
          <c:order val="1"/>
          <c:tx>
            <c:strRef>
              <c:f>'[附图总表.xlsx]图2-2'!$D$1</c:f>
              <c:strCache>
                <c:ptCount val="1"/>
                <c:pt idx="0">
                  <c:v>COD达标率</c:v>
                </c:pt>
              </c:strCache>
            </c:strRef>
          </c:tx>
          <c:spPr>
            <a:solidFill>
              <a:srgbClr val="768393"/>
            </a:solidFill>
            <a:ln>
              <a:noFill/>
            </a:ln>
            <a:effectLst/>
          </c:spPr>
          <c:invertIfNegative val="0"/>
          <c:dLbls>
            <c:delete val="1"/>
          </c:dLbls>
          <c:cat>
            <c:strRef>
              <c:f>'[附图总表.xlsx]图2-2'!$B$2:$B$12</c:f>
              <c:strCache>
                <c:ptCount val="11"/>
                <c:pt idx="0">
                  <c:v>长春市</c:v>
                </c:pt>
                <c:pt idx="1">
                  <c:v>吉林市</c:v>
                </c:pt>
                <c:pt idx="2">
                  <c:v>四平市</c:v>
                </c:pt>
                <c:pt idx="3">
                  <c:v>辽源市</c:v>
                </c:pt>
                <c:pt idx="4">
                  <c:v>通化市</c:v>
                </c:pt>
                <c:pt idx="5">
                  <c:v>白山市</c:v>
                </c:pt>
                <c:pt idx="6">
                  <c:v>松原市</c:v>
                </c:pt>
                <c:pt idx="7">
                  <c:v>白城市</c:v>
                </c:pt>
                <c:pt idx="8">
                  <c:v>延边州</c:v>
                </c:pt>
                <c:pt idx="9">
                  <c:v>长白山管委会</c:v>
                </c:pt>
                <c:pt idx="10">
                  <c:v>梅河口市</c:v>
                </c:pt>
              </c:strCache>
            </c:strRef>
          </c:cat>
          <c:val>
            <c:numRef>
              <c:f>'[附图总表.xlsx]图2-2'!$D$2:$D$12</c:f>
              <c:numCache>
                <c:formatCode>0.0%</c:formatCode>
                <c:ptCount val="11"/>
                <c:pt idx="0">
                  <c:v>1</c:v>
                </c:pt>
                <c:pt idx="1">
                  <c:v>1</c:v>
                </c:pt>
                <c:pt idx="2">
                  <c:v>1</c:v>
                </c:pt>
                <c:pt idx="3">
                  <c:v>1</c:v>
                </c:pt>
                <c:pt idx="4">
                  <c:v>1</c:v>
                </c:pt>
                <c:pt idx="5">
                  <c:v>1</c:v>
                </c:pt>
                <c:pt idx="6">
                  <c:v>1</c:v>
                </c:pt>
                <c:pt idx="7">
                  <c:v>1</c:v>
                </c:pt>
                <c:pt idx="8">
                  <c:v>1</c:v>
                </c:pt>
                <c:pt idx="9">
                  <c:v>1</c:v>
                </c:pt>
                <c:pt idx="10">
                  <c:v>1</c:v>
                </c:pt>
              </c:numCache>
            </c:numRef>
          </c:val>
        </c:ser>
        <c:ser>
          <c:idx val="2"/>
          <c:order val="2"/>
          <c:tx>
            <c:strRef>
              <c:f>'[附图总表.xlsx]图2-2'!$E$1</c:f>
              <c:strCache>
                <c:ptCount val="1"/>
                <c:pt idx="0">
                  <c:v>氨氮达标率</c:v>
                </c:pt>
              </c:strCache>
            </c:strRef>
          </c:tx>
          <c:spPr>
            <a:solidFill>
              <a:srgbClr val="DFBCB6"/>
            </a:solidFill>
            <a:ln>
              <a:noFill/>
            </a:ln>
            <a:effectLst/>
          </c:spPr>
          <c:invertIfNegative val="0"/>
          <c:dLbls>
            <c:delete val="1"/>
          </c:dLbls>
          <c:cat>
            <c:strRef>
              <c:f>'[附图总表.xlsx]图2-2'!$B$2:$B$12</c:f>
              <c:strCache>
                <c:ptCount val="11"/>
                <c:pt idx="0">
                  <c:v>长春市</c:v>
                </c:pt>
                <c:pt idx="1">
                  <c:v>吉林市</c:v>
                </c:pt>
                <c:pt idx="2">
                  <c:v>四平市</c:v>
                </c:pt>
                <c:pt idx="3">
                  <c:v>辽源市</c:v>
                </c:pt>
                <c:pt idx="4">
                  <c:v>通化市</c:v>
                </c:pt>
                <c:pt idx="5">
                  <c:v>白山市</c:v>
                </c:pt>
                <c:pt idx="6">
                  <c:v>松原市</c:v>
                </c:pt>
                <c:pt idx="7">
                  <c:v>白城市</c:v>
                </c:pt>
                <c:pt idx="8">
                  <c:v>延边州</c:v>
                </c:pt>
                <c:pt idx="9">
                  <c:v>长白山管委会</c:v>
                </c:pt>
                <c:pt idx="10">
                  <c:v>梅河口市</c:v>
                </c:pt>
              </c:strCache>
            </c:strRef>
          </c:cat>
          <c:val>
            <c:numRef>
              <c:f>'[附图总表.xlsx]图2-2'!$E$2:$E$12</c:f>
              <c:numCache>
                <c:formatCode>0.0%</c:formatCode>
                <c:ptCount val="11"/>
                <c:pt idx="0">
                  <c:v>1</c:v>
                </c:pt>
                <c:pt idx="1">
                  <c:v>1</c:v>
                </c:pt>
                <c:pt idx="2">
                  <c:v>1</c:v>
                </c:pt>
                <c:pt idx="3">
                  <c:v>1</c:v>
                </c:pt>
                <c:pt idx="4">
                  <c:v>1</c:v>
                </c:pt>
                <c:pt idx="5">
                  <c:v>1</c:v>
                </c:pt>
                <c:pt idx="6">
                  <c:v>1</c:v>
                </c:pt>
                <c:pt idx="7">
                  <c:v>1</c:v>
                </c:pt>
                <c:pt idx="8">
                  <c:v>1</c:v>
                </c:pt>
                <c:pt idx="9">
                  <c:v>1</c:v>
                </c:pt>
                <c:pt idx="10">
                  <c:v>1</c:v>
                </c:pt>
              </c:numCache>
            </c:numRef>
          </c:val>
        </c:ser>
        <c:dLbls>
          <c:showLegendKey val="0"/>
          <c:showVal val="0"/>
          <c:showCatName val="0"/>
          <c:showSerName val="0"/>
          <c:showPercent val="0"/>
          <c:showBubbleSize val="0"/>
        </c:dLbls>
        <c:gapWidth val="219"/>
        <c:overlap val="-27"/>
        <c:axId val="808143209"/>
        <c:axId val="959053715"/>
      </c:barChart>
      <c:catAx>
        <c:axId val="808143209"/>
        <c:scaling>
          <c:orientation val="minMax"/>
        </c:scaling>
        <c:delete val="0"/>
        <c:axPos val="b"/>
        <c:majorTickMark val="out"/>
        <c:minorTickMark val="none"/>
        <c:tickLblPos val="nextTo"/>
        <c:spPr>
          <a:noFill/>
          <a:ln w="12700" cap="flat" cmpd="sng" algn="ctr">
            <a:solidFill>
              <a:sysClr val="windowText" lastClr="000000"/>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crossAx val="959053715"/>
        <c:crosses val="autoZero"/>
        <c:auto val="1"/>
        <c:lblAlgn val="ctr"/>
        <c:lblOffset val="100"/>
        <c:noMultiLvlLbl val="0"/>
      </c:catAx>
      <c:valAx>
        <c:axId val="959053715"/>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0%" sourceLinked="1"/>
        <c:majorTickMark val="out"/>
        <c:minorTickMark val="none"/>
        <c:tickLblPos val="nextTo"/>
        <c:spPr>
          <a:noFill/>
          <a:ln w="12700" cmpd="sng">
            <a:solidFill>
              <a:sysClr val="windowText" lastClr="000000"/>
            </a:solidFill>
            <a:prstDash val="solid"/>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crossAx val="808143209"/>
        <c:crosses val="autoZero"/>
        <c:crossBetween val="between"/>
        <c:majorUnit val="0.2"/>
      </c:valAx>
      <c:spPr>
        <a:noFill/>
        <a:ln>
          <a:noFill/>
        </a:ln>
        <a:effectLst/>
      </c:spPr>
    </c:plotArea>
    <c:legend>
      <c:legendPos val="t"/>
      <c:layout>
        <c:manualLayout>
          <c:xMode val="edge"/>
          <c:yMode val="edge"/>
          <c:x val="0.314474932249322"/>
          <c:y val="0.028987060168177"/>
        </c:manualLayou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legend>
    <c:plotVisOnly val="1"/>
    <c:dispBlanksAs val="gap"/>
    <c:showDLblsOverMax val="0"/>
  </c:chart>
  <c:spPr>
    <a:noFill/>
    <a:ln w="9525" cap="flat" cmpd="sng" algn="ctr">
      <a:noFill/>
      <a:round/>
    </a:ln>
    <a:effectLst/>
  </c:spPr>
  <c:txPr>
    <a:bodyPr/>
    <a:lstStyle/>
    <a:p>
      <a:pPr>
        <a:defRPr lang="zh-CN">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spPr/>
          <c:explosion val="0"/>
          <c:dPt>
            <c:idx val="0"/>
            <c:bubble3D val="0"/>
            <c:spPr>
              <a:gradFill>
                <a:gsLst>
                  <a:gs pos="0">
                    <a:srgbClr val="9EE256"/>
                  </a:gs>
                  <a:gs pos="100000">
                    <a:srgbClr val="52762D"/>
                  </a:gs>
                </a:gsLst>
                <a:lin ang="5400000" scaled="0"/>
              </a:gradFill>
              <a:ln w="19050">
                <a:solidFill>
                  <a:schemeClr val="lt1"/>
                </a:solidFill>
              </a:ln>
              <a:effectLst/>
            </c:spPr>
          </c:dPt>
          <c:dPt>
            <c:idx val="1"/>
            <c:bubble3D val="0"/>
            <c:spPr>
              <a:gradFill>
                <a:gsLst>
                  <a:gs pos="0">
                    <a:srgbClr val="7B32B2"/>
                  </a:gs>
                  <a:gs pos="100000">
                    <a:srgbClr val="401A5D"/>
                  </a:gs>
                </a:gsLst>
                <a:lin ang="5400000" scaled="0"/>
              </a:gra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gradFill>
                <a:gsLst>
                  <a:gs pos="0">
                    <a:srgbClr val="FE4444"/>
                  </a:gs>
                  <a:gs pos="100000">
                    <a:srgbClr val="832B2B"/>
                  </a:gs>
                </a:gsLst>
                <a:lin ang="5400000" scaled="0"/>
              </a:gradFill>
              <a:ln w="19050">
                <a:solidFill>
                  <a:schemeClr val="lt1"/>
                </a:solidFill>
              </a:ln>
              <a:effectLst/>
            </c:spPr>
          </c:dPt>
          <c:dPt>
            <c:idx val="6"/>
            <c:bubble3D val="0"/>
            <c:spPr>
              <a:gradFill>
                <a:gsLst>
                  <a:gs pos="0">
                    <a:srgbClr val="FBFB11"/>
                  </a:gs>
                  <a:gs pos="100000">
                    <a:srgbClr val="838309"/>
                  </a:gs>
                </a:gsLst>
                <a:lin ang="5400000" scaled="0"/>
              </a:gradFill>
              <a:ln w="19050">
                <a:solidFill>
                  <a:schemeClr val="lt1"/>
                </a:solidFill>
              </a:ln>
              <a:effectLst/>
            </c:spPr>
          </c:dPt>
          <c:dPt>
            <c:idx val="7"/>
            <c:bubble3D val="0"/>
            <c:spPr>
              <a:gradFill>
                <a:gsLst>
                  <a:gs pos="0">
                    <a:srgbClr val="007BD3"/>
                  </a:gs>
                  <a:gs pos="100000">
                    <a:srgbClr val="034373"/>
                  </a:gs>
                </a:gsLst>
                <a:lin ang="5400000" scaled="0"/>
              </a:gradFill>
              <a:ln w="19050">
                <a:solidFill>
                  <a:schemeClr val="lt1"/>
                </a:solidFill>
              </a:ln>
              <a:effectLst/>
            </c:spPr>
          </c:dPt>
          <c:dPt>
            <c:idx val="8"/>
            <c:bubble3D val="0"/>
            <c:spPr>
              <a:gradFill>
                <a:gsLst>
                  <a:gs pos="0">
                    <a:srgbClr val="14CD68"/>
                  </a:gs>
                  <a:gs pos="100000">
                    <a:srgbClr val="0B6E38"/>
                  </a:gs>
                </a:gsLst>
                <a:lin ang="5400000" scaled="0"/>
              </a:gradFill>
              <a:ln w="19050">
                <a:solidFill>
                  <a:schemeClr val="lt1"/>
                </a:solidFill>
              </a:ln>
              <a:effectLst/>
            </c:spPr>
          </c:dPt>
          <c:dLbls>
            <c:dLbl>
              <c:idx val="0"/>
              <c:layout>
                <c:manualLayout>
                  <c:x val="-0.175390783366481"/>
                  <c:y val="0.0528284520975415"/>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0.0077985300135486"/>
                  <c:y val="0"/>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manualLayout>
                  <c:x val="0.0209268328526383"/>
                  <c:y val="-0.0229265149439297"/>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3"/>
              <c:layout>
                <c:manualLayout>
                  <c:x val="0.0492409763667755"/>
                  <c:y val="-0.109986218112846"/>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4"/>
              <c:layout>
                <c:manualLayout>
                  <c:x val="0.0964250141788294"/>
                  <c:y val="-0.0404886968005948"/>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5"/>
              <c:layout>
                <c:manualLayout>
                  <c:x val="0.13450545296685"/>
                  <c:y val="-0.0205279425208469"/>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6"/>
              <c:layout>
                <c:manualLayout>
                  <c:x val="0.134536966099629"/>
                  <c:y val="0.0233410361651263"/>
                </c:manualLayout>
              </c:layout>
              <c:dLblPos val="bestFit"/>
              <c:showLegendKey val="0"/>
              <c:showVal val="1"/>
              <c:showCatName val="1"/>
              <c:showSerName val="0"/>
              <c:showPercent val="0"/>
              <c:showBubbleSize val="0"/>
              <c:extLst>
                <c:ext xmlns:c15="http://schemas.microsoft.com/office/drawing/2012/chart" uri="{CE6537A1-D6FC-4f65-9D91-7224C49458BB}">
                  <c15:layout>
                    <c:manualLayout>
                      <c:w val="0.230167014613779"/>
                      <c:h val="0.0961038961038961"/>
                    </c:manualLayout>
                  </c15:layout>
                </c:ext>
              </c:extLst>
            </c:dLbl>
            <c:dLbl>
              <c:idx val="7"/>
              <c:layout>
                <c:manualLayout>
                  <c:x val="-0.00724004814332668"/>
                  <c:y val="0.100880031414304"/>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8"/>
              <c:layout>
                <c:manualLayout>
                  <c:x val="-0.00643057404277758"/>
                  <c:y val="-0.0211920685651204"/>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800" b="0" i="0" u="none" strike="noStrike" kern="1200" baseline="0">
                    <a:ln w="0" cmpd="sng">
                      <a:solidFill>
                        <a:schemeClr val="tx1"/>
                      </a:solidFill>
                      <a:prstDash val="solid"/>
                    </a:ln>
                    <a:solidFill>
                      <a:schemeClr val="tx1">
                        <a:lumMod val="75000"/>
                        <a:lumOff val="25000"/>
                      </a:schemeClr>
                    </a:solidFill>
                    <a:latin typeface="仿宋" panose="02010609060101010101" charset="-122"/>
                    <a:ea typeface="仿宋" panose="02010609060101010101" charset="-122"/>
                    <a:cs typeface="仿宋" panose="02010609060101010101" charset="-122"/>
                    <a:sym typeface="仿宋" panose="02010609060101010101" charset="-122"/>
                  </a:defRPr>
                </a:pPr>
              </a:p>
            </c:txPr>
            <c:dLblPos val="bestFit"/>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'[附图总表.xlsx]图2-3'!$A$1:$A$9</c:f>
              <c:strCache>
                <c:ptCount val="9"/>
                <c:pt idx="0">
                  <c:v>农副食品加工业</c:v>
                </c:pt>
                <c:pt idx="1">
                  <c:v>化学原料和化学制品制造业</c:v>
                </c:pt>
                <c:pt idx="2">
                  <c:v>医药制造业</c:v>
                </c:pt>
                <c:pt idx="3">
                  <c:v>金属制品业</c:v>
                </c:pt>
                <c:pt idx="4">
                  <c:v>汽车制造业</c:v>
                </c:pt>
                <c:pt idx="5">
                  <c:v>水的生产和供应业</c:v>
                </c:pt>
                <c:pt idx="6">
                  <c:v>公共设施管理业</c:v>
                </c:pt>
                <c:pt idx="7">
                  <c:v>社会工作</c:v>
                </c:pt>
                <c:pt idx="8">
                  <c:v>其他21个行业</c:v>
                </c:pt>
              </c:strCache>
            </c:strRef>
          </c:cat>
          <c:val>
            <c:numRef>
              <c:f>'[附图总表.xlsx]图2-3'!$B$1:$B$9</c:f>
              <c:numCache>
                <c:formatCode>0.00%</c:formatCode>
                <c:ptCount val="9"/>
                <c:pt idx="0">
                  <c:v>0.098</c:v>
                </c:pt>
                <c:pt idx="1">
                  <c:v>0.055</c:v>
                </c:pt>
                <c:pt idx="2">
                  <c:v>0.112</c:v>
                </c:pt>
                <c:pt idx="3">
                  <c:v>0.035</c:v>
                </c:pt>
                <c:pt idx="4">
                  <c:v>0.035</c:v>
                </c:pt>
                <c:pt idx="5">
                  <c:v>0.305</c:v>
                </c:pt>
                <c:pt idx="6">
                  <c:v>0.035</c:v>
                </c:pt>
                <c:pt idx="7">
                  <c:v>0.138</c:v>
                </c:pt>
                <c:pt idx="8">
                  <c:v>0.187</c:v>
                </c:pt>
              </c:numCache>
            </c:numRef>
          </c:val>
        </c:ser>
        <c:dLbls>
          <c:showLegendKey val="0"/>
          <c:showVal val="1"/>
          <c:showCatName val="1"/>
          <c:showSerName val="0"/>
          <c:showPercent val="0"/>
          <c:showBubbleSize val="0"/>
          <c:showLeaderLines val="1"/>
        </c:dLbls>
        <c:firstSliceAng val="329"/>
      </c:pieChart>
      <c:spPr>
        <a:noFill/>
        <a:ln>
          <a:noFill/>
        </a:ln>
        <a:effectLst/>
      </c:spPr>
    </c:plotArea>
    <c:plotVisOnly val="1"/>
    <c:dispBlanksAs val="gap"/>
    <c:showDLblsOverMax val="0"/>
  </c:chart>
  <c:spPr>
    <a:noFill/>
    <a:ln w="9525" cap="flat" cmpd="sng" algn="ctr">
      <a:noFill/>
      <a:round/>
    </a:ln>
    <a:effectLst/>
  </c:spPr>
  <c:txPr>
    <a:bodyPr/>
    <a:lstStyle/>
    <a:p>
      <a:pPr>
        <a:defRPr lang="zh-CN" sz="800">
          <a:latin typeface="仿宋" panose="02010609060101010101" charset="-122"/>
          <a:ea typeface="仿宋" panose="02010609060101010101" charset="-122"/>
          <a:cs typeface="仿宋" panose="02010609060101010101" charset="-122"/>
          <a:sym typeface="仿宋" panose="02010609060101010101" charset="-12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4666666666667"/>
          <c:y val="0.140740740740741"/>
          <c:w val="0.833666666666667"/>
          <c:h val="0.74337962962963"/>
        </c:manualLayout>
      </c:layout>
      <c:lineChart>
        <c:grouping val="standard"/>
        <c:varyColors val="0"/>
        <c:ser>
          <c:idx val="0"/>
          <c:order val="0"/>
          <c:spPr>
            <a:ln w="28575" cap="rnd" cmpd="sng" algn="ctr">
              <a:solidFill>
                <a:srgbClr val="236E8D"/>
              </a:solidFill>
              <a:prstDash val="solid"/>
              <a:round/>
            </a:ln>
            <a:effectLst/>
          </c:spPr>
          <c:marker>
            <c:symbol val="circle"/>
            <c:size val="5"/>
            <c:spPr>
              <a:solidFill>
                <a:srgbClr val="236E8D"/>
              </a:solidFill>
              <a:ln w="9525" cap="flat" cmpd="sng" algn="ctr">
                <a:solidFill>
                  <a:srgbClr val="236E8D"/>
                </a:solidFill>
                <a:prstDash val="solid"/>
                <a:round/>
              </a:ln>
              <a:effectLst/>
            </c:spPr>
          </c:marker>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tx1">
                        <a:lumMod val="75000"/>
                        <a:lumOff val="2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[附图总表.xlsx]Sheet1!$A$1:$E$1</c:f>
              <c:strCache>
                <c:ptCount val="5"/>
                <c:pt idx="0">
                  <c:v>2018年</c:v>
                </c:pt>
                <c:pt idx="1">
                  <c:v>2019年</c:v>
                </c:pt>
                <c:pt idx="2">
                  <c:v>2020年</c:v>
                </c:pt>
                <c:pt idx="3">
                  <c:v>2021年</c:v>
                </c:pt>
                <c:pt idx="4">
                  <c:v>2022年</c:v>
                </c:pt>
              </c:strCache>
            </c:strRef>
          </c:cat>
          <c:val>
            <c:numRef>
              <c:f>[附图总表.xlsx]Sheet1!$A$2:$E$2</c:f>
              <c:numCache>
                <c:formatCode>0.00%</c:formatCode>
                <c:ptCount val="5"/>
                <c:pt idx="0">
                  <c:v>0.883</c:v>
                </c:pt>
                <c:pt idx="1">
                  <c:v>0.911</c:v>
                </c:pt>
                <c:pt idx="2">
                  <c:v>0.957</c:v>
                </c:pt>
                <c:pt idx="3">
                  <c:v>0.953</c:v>
                </c:pt>
                <c:pt idx="4">
                  <c:v>1</c:v>
                </c:pt>
              </c:numCache>
            </c:numRef>
          </c:val>
          <c:smooth val="0"/>
        </c:ser>
        <c:dLbls>
          <c:showLegendKey val="0"/>
          <c:showVal val="0"/>
          <c:showCatName val="0"/>
          <c:showSerName val="0"/>
          <c:showPercent val="0"/>
          <c:showBubbleSize val="0"/>
        </c:dLbls>
        <c:marker val="1"/>
        <c:smooth val="0"/>
        <c:axId val="332496844"/>
        <c:axId val="18441528"/>
      </c:lineChart>
      <c:catAx>
        <c:axId val="332496844"/>
        <c:scaling>
          <c:orientation val="minMax"/>
        </c:scaling>
        <c:delete val="0"/>
        <c:axPos val="b"/>
        <c:majorTickMark val="out"/>
        <c:minorTickMark val="none"/>
        <c:tickLblPos val="nextTo"/>
        <c:spPr>
          <a:noFill/>
          <a:ln w="12700" cap="flat" cmpd="sng" algn="ctr">
            <a:solidFill>
              <a:sysClr val="windowText" lastClr="000000"/>
            </a:solidFill>
            <a:prstDash val="solid"/>
            <a:round/>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crossAx val="18441528"/>
        <c:crosses val="autoZero"/>
        <c:auto val="1"/>
        <c:lblAlgn val="ctr"/>
        <c:lblOffset val="100"/>
        <c:noMultiLvlLbl val="0"/>
      </c:catAx>
      <c:valAx>
        <c:axId val="18441528"/>
        <c:scaling>
          <c:orientation val="minMax"/>
          <c:max val="1"/>
        </c:scaling>
        <c:delete val="0"/>
        <c:axPos val="l"/>
        <c:numFmt formatCode="0.00%" sourceLinked="1"/>
        <c:majorTickMark val="out"/>
        <c:minorTickMark val="none"/>
        <c:tickLblPos val="nextTo"/>
        <c:spPr>
          <a:noFill/>
          <a:ln w="12700" cap="flat" cmpd="sng" algn="ctr">
            <a:solidFill>
              <a:sysClr val="windowText" lastClr="000000"/>
            </a:solidFill>
            <a:prstDash val="solid"/>
            <a:round/>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crossAx val="332496844"/>
        <c:crosses val="autoZero"/>
        <c:crossBetween val="between"/>
        <c:majorUnit val="0.02"/>
      </c:valAx>
      <c:spPr>
        <a:noFill/>
        <a:ln>
          <a:noFill/>
        </a:ln>
        <a:effectLst/>
      </c:spPr>
    </c:plotArea>
    <c:plotVisOnly val="1"/>
    <c:dispBlanksAs val="gap"/>
    <c:showDLblsOverMax val="0"/>
  </c:chart>
  <c:spPr>
    <a:noFill/>
    <a:ln w="9525" cap="flat" cmpd="sng" algn="ctr">
      <a:noFill/>
      <a:prstDash val="solid"/>
      <a:round/>
    </a:ln>
  </c:spPr>
  <c:txPr>
    <a:bodyPr wrap="square"/>
    <a:lstStyle/>
    <a:p>
      <a:pPr>
        <a:defRPr lang="zh-CN">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8355816749032"/>
          <c:y val="0.122476446837147"/>
          <c:w val="0.757720071500396"/>
          <c:h val="0.605652759084791"/>
        </c:manualLayout>
      </c:layout>
      <c:barChart>
        <c:barDir val="col"/>
        <c:grouping val="clustered"/>
        <c:varyColors val="0"/>
        <c:ser>
          <c:idx val="0"/>
          <c:order val="0"/>
          <c:spPr>
            <a:blipFill>
              <a:blip xmlns:r="http://schemas.openxmlformats.org/officeDocument/2006/relationships" r:embed="rId3"/>
              <a:stretch>
                <a:fillRect/>
              </a:stretch>
            </a:blipFill>
            <a:ln>
              <a:noFill/>
            </a:ln>
            <a:effectLst>
              <a:outerShdw blurRad="76200" dir="13500000" sy="23000" kx="1200000" algn="br" rotWithShape="0">
                <a:prstClr val="black">
                  <a:alpha val="20000"/>
                </a:prstClr>
              </a:outerShdw>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800" b="0" i="0" u="none" strike="noStrike" kern="1200" baseline="0">
                    <a:solidFill>
                      <a:schemeClr val="tx1">
                        <a:lumMod val="75000"/>
                        <a:lumOff val="2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'[附图总表.xlsx]图2-5'!$B$2:$B$12</c:f>
              <c:strCache>
                <c:ptCount val="11"/>
                <c:pt idx="0">
                  <c:v>长春市</c:v>
                </c:pt>
                <c:pt idx="1">
                  <c:v>吉林市</c:v>
                </c:pt>
                <c:pt idx="2">
                  <c:v>四平市</c:v>
                </c:pt>
                <c:pt idx="3">
                  <c:v>辽源市</c:v>
                </c:pt>
                <c:pt idx="4">
                  <c:v>通化市</c:v>
                </c:pt>
                <c:pt idx="5">
                  <c:v>白山市</c:v>
                </c:pt>
                <c:pt idx="6">
                  <c:v>松原市</c:v>
                </c:pt>
                <c:pt idx="7">
                  <c:v>白城市</c:v>
                </c:pt>
                <c:pt idx="8">
                  <c:v>延边州</c:v>
                </c:pt>
                <c:pt idx="9">
                  <c:v>长白山管委会</c:v>
                </c:pt>
                <c:pt idx="10">
                  <c:v>梅河口市</c:v>
                </c:pt>
              </c:strCache>
            </c:strRef>
          </c:cat>
          <c:val>
            <c:numRef>
              <c:f>'[附图总表.xlsx]图2-5'!$C$2:$C$12</c:f>
              <c:numCache>
                <c:formatCode>0.0%</c:formatCode>
                <c:ptCount val="11"/>
                <c:pt idx="0">
                  <c:v>0.984</c:v>
                </c:pt>
                <c:pt idx="1">
                  <c:v>1</c:v>
                </c:pt>
                <c:pt idx="2">
                  <c:v>1</c:v>
                </c:pt>
                <c:pt idx="3">
                  <c:v>1</c:v>
                </c:pt>
                <c:pt idx="4">
                  <c:v>1</c:v>
                </c:pt>
                <c:pt idx="5">
                  <c:v>1</c:v>
                </c:pt>
                <c:pt idx="6">
                  <c:v>1</c:v>
                </c:pt>
                <c:pt idx="7">
                  <c:v>1</c:v>
                </c:pt>
                <c:pt idx="8">
                  <c:v>1</c:v>
                </c:pt>
                <c:pt idx="9">
                  <c:v>1</c:v>
                </c:pt>
                <c:pt idx="10">
                  <c:v>1</c:v>
                </c:pt>
              </c:numCache>
            </c:numRef>
          </c:val>
        </c:ser>
        <c:dLbls>
          <c:showLegendKey val="0"/>
          <c:showVal val="0"/>
          <c:showCatName val="0"/>
          <c:showSerName val="0"/>
          <c:showPercent val="0"/>
          <c:showBubbleSize val="0"/>
        </c:dLbls>
        <c:gapWidth val="150"/>
        <c:overlap val="-30"/>
        <c:axId val="779620746"/>
        <c:axId val="319433042"/>
      </c:barChart>
      <c:catAx>
        <c:axId val="779620746"/>
        <c:scaling>
          <c:orientation val="minMax"/>
        </c:scaling>
        <c:delete val="0"/>
        <c:axPos val="b"/>
        <c:majorGridlines>
          <c:spPr>
            <a:ln w="9525" cap="flat" cmpd="sng" algn="ctr">
              <a:solidFill>
                <a:schemeClr val="bg1">
                  <a:lumMod val="95000"/>
                </a:schemeClr>
              </a:solidFill>
              <a:round/>
            </a:ln>
            <a:effectLst/>
          </c:spPr>
        </c:majorGridlines>
        <c:numFmt formatCode="General" sourceLinked="1"/>
        <c:majorTickMark val="out"/>
        <c:minorTickMark val="none"/>
        <c:tickLblPos val="nextTo"/>
        <c:spPr>
          <a:noFill/>
          <a:ln w="12700" cap="flat" cmpd="sng" algn="ctr">
            <a:solidFill>
              <a:sysClr val="windowText" lastClr="000000"/>
            </a:solidFill>
            <a:prstDash val="solid"/>
            <a:round/>
          </a:ln>
          <a:effectLst/>
        </c:spPr>
        <c:txPr>
          <a:bodyPr rot="0" spcFirstLastPara="0" vertOverflow="ellipsis" vert="eaVert" wrap="square" anchor="ctr" anchorCtr="1" forceAA="0"/>
          <a:lstStyle/>
          <a:p>
            <a:pPr>
              <a:defRPr lang="zh-CN" sz="1000" b="0" i="0" u="none" strike="noStrike" kern="1200" baseline="0">
                <a:solidFill>
                  <a:schemeClr val="tx1">
                    <a:lumMod val="65000"/>
                    <a:lumOff val="3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crossAx val="319433042"/>
        <c:crosses val="autoZero"/>
        <c:auto val="1"/>
        <c:lblAlgn val="ctr"/>
        <c:lblOffset val="100"/>
        <c:noMultiLvlLbl val="0"/>
      </c:catAx>
      <c:valAx>
        <c:axId val="319433042"/>
        <c:scaling>
          <c:orientation val="minMax"/>
          <c:max val="1"/>
          <c:min val="0"/>
        </c:scaling>
        <c:delete val="0"/>
        <c:axPos val="l"/>
        <c:numFmt formatCode="0.0%" sourceLinked="1"/>
        <c:majorTickMark val="out"/>
        <c:minorTickMark val="none"/>
        <c:tickLblPos val="nextTo"/>
        <c:spPr>
          <a:noFill/>
          <a:ln w="12700" cmpd="sng">
            <a:solidFill>
              <a:sysClr val="windowText" lastClr="000000"/>
            </a:solidFill>
            <a:prstDash val="solid"/>
          </a:ln>
          <a:effectLst/>
        </c:spPr>
        <c:txPr>
          <a:bodyPr rot="-60000000" spcFirstLastPara="0" vertOverflow="ellipsis" vert="horz" wrap="square" anchor="ctr" anchorCtr="1" forceAA="0"/>
          <a:lstStyle/>
          <a:p>
            <a:pPr>
              <a:defRPr lang="zh-CN" sz="1000" b="0" i="0" u="none" strike="noStrike" kern="1200" baseline="0">
                <a:solidFill>
                  <a:schemeClr val="tx1">
                    <a:lumMod val="65000"/>
                    <a:lumOff val="3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crossAx val="779620746"/>
        <c:crosses val="autoZero"/>
        <c:crossBetween val="between"/>
        <c:majorUnit val="0.2"/>
      </c:valAx>
      <c:spPr>
        <a:noFill/>
        <a:ln>
          <a:noFill/>
        </a:ln>
        <a:effectLst/>
      </c:spPr>
    </c:plotArea>
    <c:plotVisOnly val="1"/>
    <c:dispBlanksAs val="gap"/>
    <c:showDLblsOverMax val="0"/>
  </c:chart>
  <c:spPr>
    <a:noFill/>
    <a:ln w="60325" cap="flat" cmpd="sng" algn="ctr">
      <a:noFill/>
      <a:round/>
    </a:ln>
    <a:effectLst/>
  </c:spPr>
  <c:txPr>
    <a:bodyPr anchor="ctr"/>
    <a:lstStyle/>
    <a:p>
      <a:pPr>
        <a:defRPr lang="zh-CN" sz="1000">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6888888888889"/>
          <c:y val="0.0959337716094473"/>
          <c:w val="0.842555555555556"/>
          <c:h val="0.617823228634039"/>
        </c:manualLayout>
      </c:layout>
      <c:barChart>
        <c:barDir val="col"/>
        <c:grouping val="clustered"/>
        <c:varyColors val="0"/>
        <c:ser>
          <c:idx val="0"/>
          <c:order val="0"/>
          <c:tx>
            <c:strRef>
              <c:f>'[附图总表.xlsx]图2-6'!$B$1</c:f>
              <c:strCache>
                <c:ptCount val="1"/>
                <c:pt idx="0">
                  <c:v>综合达标率</c:v>
                </c:pt>
              </c:strCache>
            </c:strRef>
          </c:tx>
          <c:spPr>
            <a:solidFill>
              <a:srgbClr val="B06D6F"/>
            </a:solidFill>
            <a:ln>
              <a:noFill/>
            </a:ln>
            <a:effectLst/>
          </c:spPr>
          <c:invertIfNegative val="0"/>
          <c:dLbls>
            <c:delete val="1"/>
          </c:dLbls>
          <c:cat>
            <c:strRef>
              <c:f>'[附图总表.xlsx]图2-6'!$A$2:$A$12</c:f>
              <c:strCache>
                <c:ptCount val="11"/>
                <c:pt idx="0">
                  <c:v>长春市</c:v>
                </c:pt>
                <c:pt idx="1">
                  <c:v>吉林市</c:v>
                </c:pt>
                <c:pt idx="2">
                  <c:v>四平市</c:v>
                </c:pt>
                <c:pt idx="3">
                  <c:v>辽源市</c:v>
                </c:pt>
                <c:pt idx="4">
                  <c:v>通化市</c:v>
                </c:pt>
                <c:pt idx="5">
                  <c:v>白山市</c:v>
                </c:pt>
                <c:pt idx="6">
                  <c:v>松原市</c:v>
                </c:pt>
                <c:pt idx="7">
                  <c:v>白城市</c:v>
                </c:pt>
                <c:pt idx="8">
                  <c:v>延边州</c:v>
                </c:pt>
                <c:pt idx="9">
                  <c:v>长白山管委会</c:v>
                </c:pt>
                <c:pt idx="10">
                  <c:v>梅河口市</c:v>
                </c:pt>
              </c:strCache>
            </c:strRef>
          </c:cat>
          <c:val>
            <c:numRef>
              <c:f>'[附图总表.xlsx]图2-6'!$B$2:$B$12</c:f>
              <c:numCache>
                <c:formatCode>0.0%</c:formatCode>
                <c:ptCount val="11"/>
                <c:pt idx="0">
                  <c:v>0.984</c:v>
                </c:pt>
                <c:pt idx="1">
                  <c:v>1</c:v>
                </c:pt>
                <c:pt idx="2">
                  <c:v>1</c:v>
                </c:pt>
                <c:pt idx="3">
                  <c:v>1</c:v>
                </c:pt>
                <c:pt idx="4">
                  <c:v>1</c:v>
                </c:pt>
                <c:pt idx="5">
                  <c:v>1</c:v>
                </c:pt>
                <c:pt idx="6">
                  <c:v>1</c:v>
                </c:pt>
                <c:pt idx="7">
                  <c:v>1</c:v>
                </c:pt>
                <c:pt idx="8">
                  <c:v>1</c:v>
                </c:pt>
                <c:pt idx="9">
                  <c:v>1</c:v>
                </c:pt>
                <c:pt idx="10">
                  <c:v>1</c:v>
                </c:pt>
              </c:numCache>
            </c:numRef>
          </c:val>
        </c:ser>
        <c:ser>
          <c:idx val="1"/>
          <c:order val="1"/>
          <c:tx>
            <c:strRef>
              <c:f>'[附图总表.xlsx]图2-6'!$C$1</c:f>
              <c:strCache>
                <c:ptCount val="1"/>
                <c:pt idx="0">
                  <c:v>COD达标率</c:v>
                </c:pt>
              </c:strCache>
            </c:strRef>
          </c:tx>
          <c:spPr>
            <a:solidFill>
              <a:srgbClr val="768393"/>
            </a:solidFill>
            <a:ln>
              <a:noFill/>
            </a:ln>
            <a:effectLst/>
          </c:spPr>
          <c:invertIfNegative val="0"/>
          <c:dLbls>
            <c:delete val="1"/>
          </c:dLbls>
          <c:cat>
            <c:strRef>
              <c:f>'[附图总表.xlsx]图2-6'!$A$2:$A$12</c:f>
              <c:strCache>
                <c:ptCount val="11"/>
                <c:pt idx="0">
                  <c:v>长春市</c:v>
                </c:pt>
                <c:pt idx="1">
                  <c:v>吉林市</c:v>
                </c:pt>
                <c:pt idx="2">
                  <c:v>四平市</c:v>
                </c:pt>
                <c:pt idx="3">
                  <c:v>辽源市</c:v>
                </c:pt>
                <c:pt idx="4">
                  <c:v>通化市</c:v>
                </c:pt>
                <c:pt idx="5">
                  <c:v>白山市</c:v>
                </c:pt>
                <c:pt idx="6">
                  <c:v>松原市</c:v>
                </c:pt>
                <c:pt idx="7">
                  <c:v>白城市</c:v>
                </c:pt>
                <c:pt idx="8">
                  <c:v>延边州</c:v>
                </c:pt>
                <c:pt idx="9">
                  <c:v>长白山管委会</c:v>
                </c:pt>
                <c:pt idx="10">
                  <c:v>梅河口市</c:v>
                </c:pt>
              </c:strCache>
            </c:strRef>
          </c:cat>
          <c:val>
            <c:numRef>
              <c:f>'[附图总表.xlsx]图2-6'!$C$2:$C$12</c:f>
              <c:numCache>
                <c:formatCode>0.0%</c:formatCode>
                <c:ptCount val="11"/>
                <c:pt idx="0">
                  <c:v>1</c:v>
                </c:pt>
                <c:pt idx="1">
                  <c:v>1</c:v>
                </c:pt>
                <c:pt idx="2">
                  <c:v>1</c:v>
                </c:pt>
                <c:pt idx="3">
                  <c:v>1</c:v>
                </c:pt>
                <c:pt idx="4">
                  <c:v>1</c:v>
                </c:pt>
                <c:pt idx="5">
                  <c:v>1</c:v>
                </c:pt>
                <c:pt idx="6">
                  <c:v>1</c:v>
                </c:pt>
                <c:pt idx="7">
                  <c:v>1</c:v>
                </c:pt>
                <c:pt idx="8">
                  <c:v>1</c:v>
                </c:pt>
                <c:pt idx="9">
                  <c:v>1</c:v>
                </c:pt>
                <c:pt idx="10">
                  <c:v>1</c:v>
                </c:pt>
              </c:numCache>
            </c:numRef>
          </c:val>
        </c:ser>
        <c:ser>
          <c:idx val="2"/>
          <c:order val="2"/>
          <c:tx>
            <c:strRef>
              <c:f>'[附图总表.xlsx]图2-6'!$D$1</c:f>
              <c:strCache>
                <c:ptCount val="1"/>
                <c:pt idx="0">
                  <c:v>氨氮达标率</c:v>
                </c:pt>
              </c:strCache>
            </c:strRef>
          </c:tx>
          <c:spPr>
            <a:solidFill>
              <a:srgbClr val="DFBCB6"/>
            </a:solidFill>
            <a:ln>
              <a:noFill/>
            </a:ln>
            <a:effectLst/>
          </c:spPr>
          <c:invertIfNegative val="0"/>
          <c:dLbls>
            <c:delete val="1"/>
          </c:dLbls>
          <c:cat>
            <c:strRef>
              <c:f>'[附图总表.xlsx]图2-6'!$A$2:$A$12</c:f>
              <c:strCache>
                <c:ptCount val="11"/>
                <c:pt idx="0">
                  <c:v>长春市</c:v>
                </c:pt>
                <c:pt idx="1">
                  <c:v>吉林市</c:v>
                </c:pt>
                <c:pt idx="2">
                  <c:v>四平市</c:v>
                </c:pt>
                <c:pt idx="3">
                  <c:v>辽源市</c:v>
                </c:pt>
                <c:pt idx="4">
                  <c:v>通化市</c:v>
                </c:pt>
                <c:pt idx="5">
                  <c:v>白山市</c:v>
                </c:pt>
                <c:pt idx="6">
                  <c:v>松原市</c:v>
                </c:pt>
                <c:pt idx="7">
                  <c:v>白城市</c:v>
                </c:pt>
                <c:pt idx="8">
                  <c:v>延边州</c:v>
                </c:pt>
                <c:pt idx="9">
                  <c:v>长白山管委会</c:v>
                </c:pt>
                <c:pt idx="10">
                  <c:v>梅河口市</c:v>
                </c:pt>
              </c:strCache>
            </c:strRef>
          </c:cat>
          <c:val>
            <c:numRef>
              <c:f>'[附图总表.xlsx]图2-6'!$D$2:$D$12</c:f>
              <c:numCache>
                <c:formatCode>0.0%</c:formatCode>
                <c:ptCount val="11"/>
                <c:pt idx="0">
                  <c:v>0.992</c:v>
                </c:pt>
                <c:pt idx="1">
                  <c:v>1</c:v>
                </c:pt>
                <c:pt idx="2">
                  <c:v>1</c:v>
                </c:pt>
                <c:pt idx="3">
                  <c:v>1</c:v>
                </c:pt>
                <c:pt idx="4">
                  <c:v>1</c:v>
                </c:pt>
                <c:pt idx="5">
                  <c:v>1</c:v>
                </c:pt>
                <c:pt idx="6">
                  <c:v>1</c:v>
                </c:pt>
                <c:pt idx="7">
                  <c:v>1</c:v>
                </c:pt>
                <c:pt idx="8">
                  <c:v>1</c:v>
                </c:pt>
                <c:pt idx="9">
                  <c:v>1</c:v>
                </c:pt>
                <c:pt idx="10">
                  <c:v>1</c:v>
                </c:pt>
              </c:numCache>
            </c:numRef>
          </c:val>
        </c:ser>
        <c:dLbls>
          <c:showLegendKey val="0"/>
          <c:showVal val="0"/>
          <c:showCatName val="0"/>
          <c:showSerName val="0"/>
          <c:showPercent val="0"/>
          <c:showBubbleSize val="0"/>
        </c:dLbls>
        <c:gapWidth val="219"/>
        <c:overlap val="-27"/>
        <c:axId val="927535910"/>
        <c:axId val="406569582"/>
      </c:barChart>
      <c:catAx>
        <c:axId val="927535910"/>
        <c:scaling>
          <c:orientation val="minMax"/>
        </c:scaling>
        <c:delete val="0"/>
        <c:axPos val="b"/>
        <c:majorTickMark val="out"/>
        <c:minorTickMark val="none"/>
        <c:tickLblPos val="nextTo"/>
        <c:spPr>
          <a:noFill/>
          <a:ln w="12700" cap="flat" cmpd="sng" algn="ctr">
            <a:solidFill>
              <a:sysClr val="windowText" lastClr="000000"/>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crossAx val="406569582"/>
        <c:crosses val="autoZero"/>
        <c:auto val="1"/>
        <c:lblAlgn val="ctr"/>
        <c:lblOffset val="100"/>
        <c:noMultiLvlLbl val="0"/>
      </c:catAx>
      <c:valAx>
        <c:axId val="406569582"/>
        <c:scaling>
          <c:orientation val="minMax"/>
          <c:max val="1"/>
          <c:min val="0"/>
        </c:scaling>
        <c:delete val="0"/>
        <c:axPos val="l"/>
        <c:majorGridlines>
          <c:spPr>
            <a:ln w="9525" cap="flat" cmpd="sng" algn="ctr">
              <a:solidFill>
                <a:schemeClr val="tx1">
                  <a:lumMod val="15000"/>
                  <a:lumOff val="85000"/>
                </a:schemeClr>
              </a:solidFill>
              <a:round/>
            </a:ln>
            <a:effectLst/>
          </c:spPr>
        </c:majorGridlines>
        <c:numFmt formatCode="0.0%" sourceLinked="1"/>
        <c:majorTickMark val="out"/>
        <c:minorTickMark val="none"/>
        <c:tickLblPos val="nextTo"/>
        <c:spPr>
          <a:noFill/>
          <a:ln w="12700" cmpd="sng">
            <a:solidFill>
              <a:sysClr val="windowText" lastClr="000000"/>
            </a:solidFill>
            <a:prstDash val="solid"/>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crossAx val="927535910"/>
        <c:crosses val="autoZero"/>
        <c:crossBetween val="between"/>
      </c:valAx>
      <c:spPr>
        <a:noFill/>
        <a:ln>
          <a:noFill/>
        </a:ln>
        <a:effectLst/>
      </c:spPr>
    </c:plotArea>
    <c:legend>
      <c:legendPos val="t"/>
      <c:layout>
        <c:manualLayout>
          <c:xMode val="edge"/>
          <c:yMode val="edge"/>
          <c:x val="0.265694444444444"/>
          <c:y val="0.00694444444444444"/>
        </c:manualLayou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legend>
    <c:plotVisOnly val="1"/>
    <c:dispBlanksAs val="gap"/>
    <c:showDLblsOverMax val="0"/>
  </c:chart>
  <c:spPr>
    <a:noFill/>
    <a:ln w="9525" cap="flat" cmpd="sng" algn="ctr">
      <a:noFill/>
      <a:round/>
    </a:ln>
    <a:effectLst/>
  </c:spPr>
  <c:txPr>
    <a:bodyPr/>
    <a:lstStyle/>
    <a:p>
      <a:pPr>
        <a:defRPr lang="zh-CN">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explosion val="0"/>
            <c:spPr>
              <a:gradFill>
                <a:gsLst>
                  <a:gs pos="0">
                    <a:srgbClr val="7B32B2"/>
                  </a:gs>
                  <a:gs pos="100000">
                    <a:srgbClr val="401A5D"/>
                  </a:gs>
                </a:gsLst>
                <a:path path="circle"/>
              </a:gradFill>
              <a:ln w="19050">
                <a:solidFill>
                  <a:schemeClr val="lt1"/>
                </a:solidFill>
              </a:ln>
              <a:effectLst/>
            </c:spPr>
          </c:dPt>
          <c:dPt>
            <c:idx val="3"/>
            <c:bubble3D val="0"/>
            <c:spPr>
              <a:solidFill>
                <a:schemeClr val="accent4"/>
              </a:solidFill>
              <a:ln w="19050">
                <a:solidFill>
                  <a:schemeClr val="lt1"/>
                </a:solidFill>
              </a:ln>
              <a:effectLst/>
            </c:spPr>
          </c:dPt>
          <c:dPt>
            <c:idx val="4"/>
            <c:bubble3D val="0"/>
            <c:spPr>
              <a:gradFill>
                <a:gsLst>
                  <a:gs pos="0">
                    <a:srgbClr val="14CD68"/>
                  </a:gs>
                  <a:gs pos="100000">
                    <a:srgbClr val="0B6E38"/>
                  </a:gs>
                </a:gsLst>
                <a:path path="circle"/>
              </a:gradFill>
              <a:ln w="19050">
                <a:solidFill>
                  <a:schemeClr val="lt1"/>
                </a:solidFill>
              </a:ln>
              <a:effectLst/>
            </c:spPr>
          </c:dPt>
          <c:dPt>
            <c:idx val="5"/>
            <c:bubble3D val="0"/>
            <c:spPr>
              <a:solidFill>
                <a:schemeClr val="accent6"/>
              </a:solidFill>
              <a:ln w="19050">
                <a:solidFill>
                  <a:schemeClr val="lt1"/>
                </a:solidFill>
              </a:ln>
              <a:effectLst/>
            </c:spPr>
          </c:dPt>
          <c:dPt>
            <c:idx val="6"/>
            <c:bubble3D val="0"/>
            <c:spPr>
              <a:gradFill>
                <a:gsLst>
                  <a:gs pos="0">
                    <a:srgbClr val="007BD3"/>
                  </a:gs>
                  <a:gs pos="100000">
                    <a:srgbClr val="034373"/>
                  </a:gs>
                </a:gsLst>
                <a:path path="circle"/>
              </a:gradFill>
              <a:ln w="19050">
                <a:solidFill>
                  <a:schemeClr val="lt1"/>
                </a:solidFill>
              </a:ln>
              <a:effectLst/>
            </c:spPr>
          </c:dPt>
          <c:dPt>
            <c:idx val="7"/>
            <c:bubble3D val="0"/>
            <c:spPr>
              <a:gradFill>
                <a:gsLst>
                  <a:gs pos="0">
                    <a:srgbClr val="FE4444"/>
                  </a:gs>
                  <a:gs pos="100000">
                    <a:srgbClr val="832B2B"/>
                  </a:gs>
                </a:gsLst>
                <a:path path="circle"/>
              </a:gradFill>
              <a:ln w="19050">
                <a:solidFill>
                  <a:schemeClr val="lt1"/>
                </a:solidFill>
              </a:ln>
              <a:effectLst/>
            </c:spPr>
          </c:dPt>
          <c:dPt>
            <c:idx val="8"/>
            <c:bubble3D val="0"/>
            <c:spPr>
              <a:gradFill>
                <a:gsLst>
                  <a:gs pos="0">
                    <a:srgbClr val="9EE256"/>
                  </a:gs>
                  <a:gs pos="100000">
                    <a:srgbClr val="52762D"/>
                  </a:gs>
                </a:gsLst>
                <a:path path="circle"/>
              </a:gradFill>
              <a:ln w="19050">
                <a:solidFill>
                  <a:schemeClr val="lt1"/>
                </a:solidFill>
              </a:ln>
              <a:effectLst/>
            </c:spPr>
          </c:dPt>
          <c:dPt>
            <c:idx val="9"/>
            <c:bubble3D val="0"/>
            <c:spPr>
              <a:solidFill>
                <a:schemeClr val="accent4">
                  <a:lumMod val="60000"/>
                </a:schemeClr>
              </a:solidFill>
              <a:ln w="19050">
                <a:solidFill>
                  <a:schemeClr val="lt1"/>
                </a:solidFill>
              </a:ln>
              <a:effectLst/>
            </c:spPr>
          </c:dPt>
          <c:dPt>
            <c:idx val="10"/>
            <c:bubble3D val="0"/>
            <c:spPr>
              <a:gradFill>
                <a:gsLst>
                  <a:gs pos="0">
                    <a:srgbClr val="FBFB11"/>
                  </a:gs>
                  <a:gs pos="100000">
                    <a:srgbClr val="838309"/>
                  </a:gs>
                </a:gsLst>
                <a:path path="circle"/>
              </a:gradFill>
              <a:ln w="19050">
                <a:solidFill>
                  <a:schemeClr val="lt1"/>
                </a:solidFill>
              </a:ln>
              <a:effectLst/>
            </c:spPr>
          </c:dPt>
          <c:dLbls>
            <c:dLbl>
              <c:idx val="0"/>
              <c:layout>
                <c:manualLayout>
                  <c:x val="-0.0185135931968987"/>
                  <c:y val="0.136722687786537"/>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0.0324079196150122"/>
                  <c:y val="0.0641449530707469"/>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manualLayout>
                  <c:x val="-0.056406152533583"/>
                  <c:y val="0.0110517590716522"/>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3"/>
              <c:layout>
                <c:manualLayout>
                  <c:x val="-0.128743018066071"/>
                  <c:y val="-0.0429204914155594"/>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4"/>
              <c:layout>
                <c:manualLayout>
                  <c:x val="-0.0916583191545039"/>
                  <c:y val="0"/>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5"/>
              <c:layout>
                <c:manualLayout>
                  <c:x val="-0.0287277786519629"/>
                  <c:y val="0"/>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800" b="1" i="0" u="none" strike="noStrike" kern="1200" baseline="0">
                      <a:solidFill>
                        <a:schemeClr val="tx1">
                          <a:lumMod val="75000"/>
                          <a:lumOff val="25000"/>
                        </a:schemeClr>
                      </a:solidFill>
                      <a:latin typeface="仿宋" panose="02010609060101010101" charset="-122"/>
                      <a:ea typeface="仿宋" panose="02010609060101010101" charset="-122"/>
                      <a:cs typeface="仿宋" panose="02010609060101010101" charset="-122"/>
                      <a:sym typeface="仿宋" panose="02010609060101010101" charset="-122"/>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6"/>
              <c:layout>
                <c:manualLayout>
                  <c:x val="0.275009572227855"/>
                  <c:y val="0.0663105544299134"/>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7"/>
              <c:layout>
                <c:manualLayout>
                  <c:x val="0.233005254570661"/>
                  <c:y val="0"/>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8"/>
              <c:layout>
                <c:manualLayout>
                  <c:x val="-0.0328957458431173"/>
                  <c:y val="0.168023256540792"/>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9"/>
              <c:layout>
                <c:manualLayout>
                  <c:x val="-0.092717548538756"/>
                  <c:y val="0.0961566578099902"/>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10"/>
              <c:layout>
                <c:manualLayout>
                  <c:x val="-0.12774720924032"/>
                  <c:y val="0.124711536295987"/>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800" b="1" i="0" u="none" strike="noStrike" kern="1200" baseline="0">
                    <a:solidFill>
                      <a:schemeClr val="tx1">
                        <a:lumMod val="75000"/>
                        <a:lumOff val="25000"/>
                      </a:schemeClr>
                    </a:solidFill>
                    <a:latin typeface="仿宋" panose="02010609060101010101" charset="-122"/>
                    <a:ea typeface="仿宋" panose="02010609060101010101" charset="-122"/>
                    <a:cs typeface="仿宋" panose="02010609060101010101" charset="-122"/>
                    <a:sym typeface="仿宋" panose="02010609060101010101" charset="-122"/>
                  </a:defRPr>
                </a:pPr>
              </a:p>
            </c:txPr>
            <c:dLblPos val="bestFit"/>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'[附图总表.xlsx]图2-7'!$A$1:$A$11</c:f>
              <c:strCache>
                <c:ptCount val="11"/>
                <c:pt idx="0">
                  <c:v>农副食品加工业</c:v>
                </c:pt>
                <c:pt idx="1">
                  <c:v>石油加工、炼焦和核燃料加工业</c:v>
                </c:pt>
                <c:pt idx="2">
                  <c:v>化学原料和化学制品制造业</c:v>
                </c:pt>
                <c:pt idx="3">
                  <c:v>医药制造业</c:v>
                </c:pt>
                <c:pt idx="4">
                  <c:v>非金属矿物制品业</c:v>
                </c:pt>
                <c:pt idx="5">
                  <c:v>黑色金属冶炼和压延加工业</c:v>
                </c:pt>
                <c:pt idx="6">
                  <c:v>汽车制造业</c:v>
                </c:pt>
                <c:pt idx="7">
                  <c:v>电力、热力生产和供应业</c:v>
                </c:pt>
                <c:pt idx="8">
                  <c:v>生态保护和环境治理业</c:v>
                </c:pt>
                <c:pt idx="9">
                  <c:v>社会工作</c:v>
                </c:pt>
                <c:pt idx="10">
                  <c:v>其他17个行业</c:v>
                </c:pt>
              </c:strCache>
            </c:strRef>
          </c:cat>
          <c:val>
            <c:numRef>
              <c:f>'[附图总表.xlsx]图2-7'!$B$1:$B$11</c:f>
              <c:numCache>
                <c:formatCode>0.0%</c:formatCode>
                <c:ptCount val="11"/>
                <c:pt idx="0">
                  <c:v>0.025</c:v>
                </c:pt>
                <c:pt idx="1">
                  <c:v>0.013</c:v>
                </c:pt>
                <c:pt idx="2">
                  <c:v>0.064</c:v>
                </c:pt>
                <c:pt idx="3">
                  <c:v>0.029</c:v>
                </c:pt>
                <c:pt idx="4">
                  <c:v>0.086</c:v>
                </c:pt>
                <c:pt idx="5">
                  <c:v>0.016</c:v>
                </c:pt>
                <c:pt idx="6">
                  <c:v>0.032</c:v>
                </c:pt>
                <c:pt idx="7">
                  <c:v>0.599</c:v>
                </c:pt>
                <c:pt idx="8">
                  <c:v>0.025</c:v>
                </c:pt>
                <c:pt idx="9">
                  <c:v>0.016</c:v>
                </c:pt>
                <c:pt idx="10">
                  <c:v>0.095</c:v>
                </c:pt>
              </c:numCache>
            </c:numRef>
          </c:val>
        </c:ser>
        <c:dLbls>
          <c:showLegendKey val="0"/>
          <c:showVal val="1"/>
          <c:showCatName val="1"/>
          <c:showSerName val="0"/>
          <c:showPercent val="0"/>
          <c:showBubbleSize val="0"/>
          <c:showLeaderLines val="1"/>
        </c:dLbls>
        <c:firstSliceAng val="279"/>
      </c:pieChart>
      <c:spPr>
        <a:noFill/>
        <a:ln>
          <a:noFill/>
        </a:ln>
        <a:effectLst/>
      </c:spPr>
    </c:plotArea>
    <c:plotVisOnly val="1"/>
    <c:dispBlanksAs val="gap"/>
    <c:showDLblsOverMax val="0"/>
  </c:chart>
  <c:spPr>
    <a:noFill/>
    <a:ln w="3175" cap="flat" cmpd="sng" algn="ctr">
      <a:solidFill>
        <a:sysClr val="window" lastClr="FFFFFF"/>
      </a:solidFill>
      <a:round/>
    </a:ln>
    <a:effectLst/>
  </c:spPr>
  <c:txPr>
    <a:bodyPr/>
    <a:lstStyle/>
    <a:p>
      <a:pPr>
        <a:defRPr lang="zh-CN" sz="800" b="1">
          <a:latin typeface="仿宋" panose="02010609060101010101" charset="-122"/>
          <a:ea typeface="仿宋" panose="02010609060101010101" charset="-122"/>
          <a:cs typeface="仿宋" panose="02010609060101010101" charset="-122"/>
          <a:sym typeface="仿宋" panose="02010609060101010101" charset="-122"/>
        </a:defRPr>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4666666666667"/>
          <c:y val="0.140740740740741"/>
          <c:w val="0.833666666666667"/>
          <c:h val="0.74337962962963"/>
        </c:manualLayout>
      </c:layout>
      <c:lineChart>
        <c:grouping val="standard"/>
        <c:varyColors val="0"/>
        <c:ser>
          <c:idx val="0"/>
          <c:order val="0"/>
          <c:spPr>
            <a:ln w="28575" cap="rnd" cmpd="sng" algn="ctr">
              <a:solidFill>
                <a:srgbClr val="236E8D"/>
              </a:solidFill>
              <a:prstDash val="solid"/>
              <a:round/>
            </a:ln>
            <a:effectLst/>
          </c:spPr>
          <c:marker>
            <c:symbol val="circle"/>
            <c:size val="5"/>
            <c:spPr>
              <a:solidFill>
                <a:srgbClr val="236E8D"/>
              </a:solidFill>
              <a:ln w="9525" cap="flat" cmpd="sng" algn="ctr">
                <a:solidFill>
                  <a:srgbClr val="236E8D"/>
                </a:solidFill>
                <a:prstDash val="solid"/>
                <a:round/>
              </a:ln>
              <a:effectLst/>
            </c:spPr>
          </c:marker>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tx1">
                        <a:lumMod val="75000"/>
                        <a:lumOff val="2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'[附图总表.xlsx]图2-8'!$A$1:$E$1</c:f>
              <c:strCache>
                <c:ptCount val="5"/>
                <c:pt idx="0">
                  <c:v>2018年</c:v>
                </c:pt>
                <c:pt idx="1">
                  <c:v>2019年</c:v>
                </c:pt>
                <c:pt idx="2">
                  <c:v>2020年</c:v>
                </c:pt>
                <c:pt idx="3">
                  <c:v>2021年</c:v>
                </c:pt>
                <c:pt idx="4">
                  <c:v>2022年</c:v>
                </c:pt>
              </c:strCache>
            </c:strRef>
          </c:cat>
          <c:val>
            <c:numRef>
              <c:f>'[附图总表.xlsx]图2-8'!$A$2:$E$2</c:f>
              <c:numCache>
                <c:formatCode>0.0%</c:formatCode>
                <c:ptCount val="5"/>
                <c:pt idx="0">
                  <c:v>0.926</c:v>
                </c:pt>
                <c:pt idx="1">
                  <c:v>0.936</c:v>
                </c:pt>
                <c:pt idx="2">
                  <c:v>0.967</c:v>
                </c:pt>
                <c:pt idx="3">
                  <c:v>1</c:v>
                </c:pt>
                <c:pt idx="4">
                  <c:v>0.994</c:v>
                </c:pt>
              </c:numCache>
            </c:numRef>
          </c:val>
          <c:smooth val="0"/>
        </c:ser>
        <c:dLbls>
          <c:showLegendKey val="0"/>
          <c:showVal val="0"/>
          <c:showCatName val="0"/>
          <c:showSerName val="0"/>
          <c:showPercent val="0"/>
          <c:showBubbleSize val="0"/>
        </c:dLbls>
        <c:marker val="1"/>
        <c:smooth val="0"/>
        <c:axId val="340380960"/>
        <c:axId val="837078442"/>
      </c:lineChart>
      <c:catAx>
        <c:axId val="340380960"/>
        <c:scaling>
          <c:orientation val="minMax"/>
        </c:scaling>
        <c:delete val="0"/>
        <c:axPos val="b"/>
        <c:majorTickMark val="out"/>
        <c:minorTickMark val="none"/>
        <c:tickLblPos val="nextTo"/>
        <c:spPr>
          <a:noFill/>
          <a:ln w="12700" cap="flat" cmpd="sng" algn="ctr">
            <a:solidFill>
              <a:sysClr val="windowText" lastClr="000000"/>
            </a:solidFill>
            <a:prstDash val="solid"/>
            <a:round/>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crossAx val="837078442"/>
        <c:crosses val="autoZero"/>
        <c:auto val="1"/>
        <c:lblAlgn val="ctr"/>
        <c:lblOffset val="100"/>
        <c:noMultiLvlLbl val="0"/>
      </c:catAx>
      <c:valAx>
        <c:axId val="837078442"/>
        <c:scaling>
          <c:orientation val="minMax"/>
          <c:max val="1"/>
        </c:scaling>
        <c:delete val="0"/>
        <c:axPos val="l"/>
        <c:numFmt formatCode="0.0%" sourceLinked="1"/>
        <c:majorTickMark val="out"/>
        <c:minorTickMark val="none"/>
        <c:tickLblPos val="nextTo"/>
        <c:spPr>
          <a:noFill/>
          <a:ln w="12700" cap="flat" cmpd="sng" algn="ctr">
            <a:solidFill>
              <a:sysClr val="windowText" lastClr="000000"/>
            </a:solidFill>
            <a:prstDash val="solid"/>
            <a:round/>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crossAx val="340380960"/>
        <c:crosses val="autoZero"/>
        <c:crossBetween val="between"/>
        <c:majorUnit val="0.02"/>
      </c:valAx>
      <c:spPr>
        <a:noFill/>
        <a:ln>
          <a:noFill/>
        </a:ln>
        <a:effectLst/>
      </c:spPr>
    </c:plotArea>
    <c:plotVisOnly val="1"/>
    <c:dispBlanksAs val="gap"/>
    <c:showDLblsOverMax val="0"/>
  </c:chart>
  <c:spPr>
    <a:noFill/>
    <a:ln w="9525" cap="flat" cmpd="sng" algn="ctr">
      <a:noFill/>
      <a:prstDash val="solid"/>
      <a:round/>
    </a:ln>
  </c:spPr>
  <c:txPr>
    <a:bodyPr wrap="square"/>
    <a:lstStyle/>
    <a:p>
      <a:pPr>
        <a:defRPr lang="zh-CN">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4666666666667"/>
          <c:y val="0.140740740740741"/>
          <c:w val="0.833666666666667"/>
          <c:h val="0.74337962962963"/>
        </c:manualLayout>
      </c:layout>
      <c:lineChart>
        <c:grouping val="standard"/>
        <c:varyColors val="0"/>
        <c:ser>
          <c:idx val="0"/>
          <c:order val="0"/>
          <c:spPr>
            <a:ln w="28575" cap="rnd" cmpd="sng" algn="ctr">
              <a:solidFill>
                <a:srgbClr val="236E8D"/>
              </a:solidFill>
              <a:prstDash val="solid"/>
              <a:round/>
            </a:ln>
            <a:effectLst/>
          </c:spPr>
          <c:marker>
            <c:symbol val="circle"/>
            <c:size val="5"/>
            <c:spPr>
              <a:solidFill>
                <a:srgbClr val="236E8D"/>
              </a:solidFill>
              <a:ln w="9525" cap="flat" cmpd="sng" algn="ctr">
                <a:solidFill>
                  <a:srgbClr val="236E8D"/>
                </a:solidFill>
                <a:prstDash val="solid"/>
                <a:round/>
              </a:ln>
              <a:effectLst/>
            </c:spPr>
          </c:marker>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tx1">
                        <a:lumMod val="75000"/>
                        <a:lumOff val="2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'[附图总表.xlsx]图2-9'!$A$1:$E$1</c:f>
              <c:strCache>
                <c:ptCount val="5"/>
                <c:pt idx="0">
                  <c:v>2018年</c:v>
                </c:pt>
                <c:pt idx="1">
                  <c:v>2019年</c:v>
                </c:pt>
                <c:pt idx="2">
                  <c:v>2020年</c:v>
                </c:pt>
                <c:pt idx="3">
                  <c:v>2021年</c:v>
                </c:pt>
                <c:pt idx="4">
                  <c:v>2022年</c:v>
                </c:pt>
              </c:strCache>
            </c:strRef>
          </c:cat>
          <c:val>
            <c:numRef>
              <c:f>'[附图总表.xlsx]图2-9'!$A$2:$E$2</c:f>
              <c:numCache>
                <c:formatCode>0.00%</c:formatCode>
                <c:ptCount val="5"/>
                <c:pt idx="0">
                  <c:v>0.902</c:v>
                </c:pt>
                <c:pt idx="1">
                  <c:v>0.873</c:v>
                </c:pt>
                <c:pt idx="2">
                  <c:v>0.955</c:v>
                </c:pt>
                <c:pt idx="3">
                  <c:v>0.956</c:v>
                </c:pt>
                <c:pt idx="4">
                  <c:v>1</c:v>
                </c:pt>
              </c:numCache>
            </c:numRef>
          </c:val>
          <c:smooth val="0"/>
        </c:ser>
        <c:dLbls>
          <c:showLegendKey val="0"/>
          <c:showVal val="0"/>
          <c:showCatName val="0"/>
          <c:showSerName val="0"/>
          <c:showPercent val="0"/>
          <c:showBubbleSize val="0"/>
        </c:dLbls>
        <c:marker val="1"/>
        <c:smooth val="0"/>
        <c:axId val="981073917"/>
        <c:axId val="684635527"/>
      </c:lineChart>
      <c:catAx>
        <c:axId val="981073917"/>
        <c:scaling>
          <c:orientation val="minMax"/>
        </c:scaling>
        <c:delete val="0"/>
        <c:axPos val="b"/>
        <c:majorTickMark val="out"/>
        <c:minorTickMark val="none"/>
        <c:tickLblPos val="nextTo"/>
        <c:spPr>
          <a:noFill/>
          <a:ln w="12700" cap="flat" cmpd="sng" algn="ctr">
            <a:solidFill>
              <a:sysClr val="windowText" lastClr="000000"/>
            </a:solidFill>
            <a:prstDash val="solid"/>
            <a:round/>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crossAx val="684635527"/>
        <c:crosses val="autoZero"/>
        <c:auto val="1"/>
        <c:lblAlgn val="ctr"/>
        <c:lblOffset val="100"/>
        <c:noMultiLvlLbl val="0"/>
      </c:catAx>
      <c:valAx>
        <c:axId val="684635527"/>
        <c:scaling>
          <c:orientation val="minMax"/>
          <c:max val="1"/>
        </c:scaling>
        <c:delete val="0"/>
        <c:axPos val="l"/>
        <c:numFmt formatCode="0.00%" sourceLinked="1"/>
        <c:majorTickMark val="out"/>
        <c:minorTickMark val="none"/>
        <c:tickLblPos val="nextTo"/>
        <c:spPr>
          <a:noFill/>
          <a:ln w="12700" cap="flat" cmpd="sng" algn="ctr">
            <a:solidFill>
              <a:sysClr val="windowText" lastClr="000000"/>
            </a:solidFill>
            <a:prstDash val="solid"/>
            <a:round/>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crossAx val="981073917"/>
        <c:crosses val="autoZero"/>
        <c:crossBetween val="between"/>
        <c:majorUnit val="0.02"/>
      </c:valAx>
      <c:spPr>
        <a:noFill/>
        <a:ln>
          <a:noFill/>
        </a:ln>
        <a:effectLst/>
      </c:spPr>
    </c:plotArea>
    <c:plotVisOnly val="1"/>
    <c:dispBlanksAs val="gap"/>
    <c:showDLblsOverMax val="0"/>
  </c:chart>
  <c:spPr>
    <a:noFill/>
    <a:ln w="9525" cap="flat" cmpd="sng" algn="ctr">
      <a:noFill/>
      <a:prstDash val="solid"/>
      <a:round/>
    </a:ln>
  </c:spPr>
  <c:txPr>
    <a:bodyPr wrap="square"/>
    <a:lstStyle/>
    <a:p>
      <a:pPr>
        <a:defRPr lang="zh-CN">
          <a:latin typeface="汉仪旗黑-55简" panose="00020600040101010101" charset="-122"/>
          <a:ea typeface="汉仪旗黑-55简" panose="00020600040101010101" charset="-122"/>
          <a:cs typeface="汉仪旗黑-55简" panose="00020600040101010101" charset="-122"/>
          <a:sym typeface="汉仪旗黑-55简" panose="00020600040101010101" charset="-122"/>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_rels/themeOverride3.xml.rels><?xml version="1.0" encoding="UTF-8" standalone="yes"?>
<Relationships xmlns="http://schemas.openxmlformats.org/package/2006/relationships"><Relationship Id="rId1" Type="http://schemas.openxmlformats.org/officeDocument/2006/relationships/image" Target="../media/image2.jpeg"/></Relationships>
</file>

<file path=word/theme/_rels/themeOverride7.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Essential">
    <a:dk1>
      <a:srgbClr val="000000"/>
    </a:dk1>
    <a:lt1>
      <a:srgbClr val="FFFFFF"/>
    </a:lt1>
    <a:dk2>
      <a:srgbClr val="D1282E"/>
    </a:dk2>
    <a:lt2>
      <a:srgbClr val="C8C8B1"/>
    </a:lt2>
    <a:accent1>
      <a:srgbClr val="7A7A7A"/>
    </a:accent1>
    <a:accent2>
      <a:srgbClr val="F5C201"/>
    </a:accent2>
    <a:accent3>
      <a:srgbClr val="526DB0"/>
    </a:accent3>
    <a:accent4>
      <a:srgbClr val="989AAC"/>
    </a:accent4>
    <a:accent5>
      <a:srgbClr val="DC5924"/>
    </a:accent5>
    <a:accent6>
      <a:srgbClr val="B4B392"/>
    </a:accent6>
    <a:hlink>
      <a:srgbClr val="CC9900"/>
    </a:hlink>
    <a:folHlink>
      <a:srgbClr val="969696"/>
    </a:folHlink>
  </a:clrScheme>
  <a:fontScheme name="NewsPrint">
    <a:majorFont>
      <a:latin typeface="Impact"/>
      <a:ea typeface=""/>
      <a:cs typeface=""/>
      <a:font script="Jpan" typeface="HGP創英角ｺﾞｼｯｸUB"/>
      <a:font script="Hang" typeface="HY견고딕"/>
      <a:font script="Hans" typeface="微软雅黑"/>
      <a:font script="Hant" typeface="微軟正黑體"/>
      <a:font script="Arab" typeface="Tahoma"/>
      <a:font script="Hebr" typeface="Tohoma"/>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NewsPrint">
    <a:fillStyleLst>
      <a:solidFill>
        <a:schemeClr val="phClr"/>
      </a:solidFill>
      <a:gradFill rotWithShape="1">
        <a:gsLst>
          <a:gs pos="0">
            <a:schemeClr val="phClr">
              <a:tint val="37000"/>
              <a:hueMod val="100000"/>
              <a:satMod val="200000"/>
              <a:lumMod val="88000"/>
            </a:schemeClr>
          </a:gs>
          <a:gs pos="100000">
            <a:schemeClr val="phClr">
              <a:tint val="53000"/>
              <a:shade val="100000"/>
              <a:hueMod val="100000"/>
              <a:satMod val="350000"/>
              <a:lumMod val="79000"/>
            </a:schemeClr>
          </a:gs>
        </a:gsLst>
        <a:lin ang="5400000" scaled="1"/>
      </a:gradFill>
      <a:gradFill rotWithShape="1">
        <a:gsLst>
          <a:gs pos="0">
            <a:schemeClr val="phClr">
              <a:tint val="83000"/>
              <a:shade val="100000"/>
              <a:alpha val="100000"/>
              <a:hueMod val="100000"/>
              <a:satMod val="220000"/>
              <a:lumMod val="90000"/>
            </a:schemeClr>
          </a:gs>
          <a:gs pos="76000">
            <a:schemeClr val="phClr">
              <a:shade val="100000"/>
            </a:schemeClr>
          </a:gs>
          <a:gs pos="100000">
            <a:schemeClr val="phClr">
              <a:shade val="93000"/>
              <a:alpha val="100000"/>
              <a:satMod val="100000"/>
              <a:lumMod val="93000"/>
            </a:schemeClr>
          </a:gs>
        </a:gsLst>
        <a:path path="circle">
          <a:fillToRect l="15000" t="15000" r="100000" b="100000"/>
        </a:path>
      </a:gradFill>
    </a:fillStyleLst>
    <a:lnStyleLst>
      <a:ln w="15875" cap="flat" cmpd="sng" algn="ctr">
        <a:solidFill>
          <a:schemeClr val="phClr"/>
        </a:solidFill>
        <a:prstDash val="solid"/>
      </a:ln>
      <a:ln w="22225" cap="flat" cmpd="sng" algn="ctr">
        <a:solidFill>
          <a:schemeClr val="phClr"/>
        </a:solidFill>
        <a:prstDash val="solid"/>
      </a:ln>
      <a:ln w="34925" cap="flat" cmpd="sng" algn="ctr">
        <a:solidFill>
          <a:schemeClr val="phClr"/>
        </a:solidFill>
        <a:prstDash val="solid"/>
      </a:ln>
    </a:lnStyleLst>
    <a:effectStyleLst>
      <a:effectStyle>
        <a:effectLst>
          <a:outerShdw blurRad="50800" dist="12700" dir="5280000" rotWithShape="0">
            <a:srgbClr val="000000">
              <a:alpha val="40000"/>
            </a:srgbClr>
          </a:outerShdw>
        </a:effectLst>
      </a:effectStyle>
      <a:effectStyle>
        <a:effectLst>
          <a:outerShdw blurRad="38100" dist="38100" dir="5400000" rotWithShape="0">
            <a:srgbClr val="000000">
              <a:alpha val="35000"/>
            </a:srgbClr>
          </a:outerShdw>
        </a:effectLst>
      </a:effectStyle>
      <a:effectStyle>
        <a:effectLst>
          <a:outerShdw blurRad="38100" dist="38100" dir="5400000" rotWithShape="0">
            <a:srgbClr val="000000">
              <a:alpha val="35000"/>
            </a:srgbClr>
          </a:outerShdw>
        </a:effectLst>
        <a:scene3d>
          <a:camera prst="orthographicFront">
            <a:rot lat="0" lon="0" rev="0"/>
          </a:camera>
          <a:lightRig rig="brightRoom" dir="tl"/>
        </a:scene3d>
        <a:sp3d contourW="12700">
          <a:bevelT w="31750" h="12700"/>
          <a:contourClr>
            <a:schemeClr val="phClr"/>
          </a:contourClr>
        </a:sp3d>
      </a:effectStyle>
    </a:effectStyleLst>
    <a:bgFillStyleLst>
      <a:solidFill>
        <a:schemeClr val="phClr"/>
      </a:solidFill>
      <a:gradFill rotWithShape="1">
        <a:gsLst>
          <a:gs pos="0">
            <a:schemeClr val="phClr">
              <a:tint val="93000"/>
            </a:schemeClr>
          </a:gs>
          <a:gs pos="100000">
            <a:schemeClr val="phClr">
              <a:shade val="55000"/>
            </a:schemeClr>
          </a:gs>
        </a:gsLst>
        <a:lin ang="5400000" scaled="1"/>
      </a:gradFill>
      <a:blipFill rotWithShape="1">
        <a:blip xmlns:r="http://schemas.openxmlformats.org/officeDocument/2006/relationships" r:embed="rId1">
          <a:duotone>
            <a:schemeClr val="phClr">
              <a:shade val="20000"/>
              <a:satMod val="350000"/>
              <a:lumMod val="125000"/>
            </a:schemeClr>
            <a:schemeClr val="phClr">
              <a:tint val="90000"/>
              <a:satMod val="250000"/>
            </a:schemeClr>
          </a:duotone>
        </a:blip>
        <a:stretch>
          <a:fillRect/>
        </a:stretch>
      </a:blip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Essential">
    <a:dk1>
      <a:srgbClr val="000000"/>
    </a:dk1>
    <a:lt1>
      <a:srgbClr val="FFFFFF"/>
    </a:lt1>
    <a:dk2>
      <a:srgbClr val="D1282E"/>
    </a:dk2>
    <a:lt2>
      <a:srgbClr val="C8C8B1"/>
    </a:lt2>
    <a:accent1>
      <a:srgbClr val="7A7A7A"/>
    </a:accent1>
    <a:accent2>
      <a:srgbClr val="F5C201"/>
    </a:accent2>
    <a:accent3>
      <a:srgbClr val="526DB0"/>
    </a:accent3>
    <a:accent4>
      <a:srgbClr val="989AAC"/>
    </a:accent4>
    <a:accent5>
      <a:srgbClr val="DC5924"/>
    </a:accent5>
    <a:accent6>
      <a:srgbClr val="B4B392"/>
    </a:accent6>
    <a:hlink>
      <a:srgbClr val="CC9900"/>
    </a:hlink>
    <a:folHlink>
      <a:srgbClr val="969696"/>
    </a:folHlink>
  </a:clrScheme>
  <a:fontScheme name="NewsPrint">
    <a:majorFont>
      <a:latin typeface="Impact"/>
      <a:ea typeface=""/>
      <a:cs typeface=""/>
      <a:font script="Jpan" typeface="HGP創英角ｺﾞｼｯｸUB"/>
      <a:font script="Hang" typeface="HY견고딕"/>
      <a:font script="Hans" typeface="微软雅黑"/>
      <a:font script="Hant" typeface="微軟正黑體"/>
      <a:font script="Arab" typeface="Tahoma"/>
      <a:font script="Hebr" typeface="Tohoma"/>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NewsPrint">
    <a:fillStyleLst>
      <a:solidFill>
        <a:schemeClr val="phClr"/>
      </a:solidFill>
      <a:gradFill rotWithShape="1">
        <a:gsLst>
          <a:gs pos="0">
            <a:schemeClr val="phClr">
              <a:tint val="37000"/>
              <a:hueMod val="100000"/>
              <a:satMod val="200000"/>
              <a:lumMod val="88000"/>
            </a:schemeClr>
          </a:gs>
          <a:gs pos="100000">
            <a:schemeClr val="phClr">
              <a:tint val="53000"/>
              <a:shade val="100000"/>
              <a:hueMod val="100000"/>
              <a:satMod val="350000"/>
              <a:lumMod val="79000"/>
            </a:schemeClr>
          </a:gs>
        </a:gsLst>
        <a:lin ang="5400000" scaled="1"/>
      </a:gradFill>
      <a:gradFill rotWithShape="1">
        <a:gsLst>
          <a:gs pos="0">
            <a:schemeClr val="phClr">
              <a:tint val="83000"/>
              <a:shade val="100000"/>
              <a:alpha val="100000"/>
              <a:hueMod val="100000"/>
              <a:satMod val="220000"/>
              <a:lumMod val="90000"/>
            </a:schemeClr>
          </a:gs>
          <a:gs pos="76000">
            <a:schemeClr val="phClr">
              <a:shade val="100000"/>
            </a:schemeClr>
          </a:gs>
          <a:gs pos="100000">
            <a:schemeClr val="phClr">
              <a:shade val="93000"/>
              <a:alpha val="100000"/>
              <a:satMod val="100000"/>
              <a:lumMod val="93000"/>
            </a:schemeClr>
          </a:gs>
        </a:gsLst>
        <a:path path="circle">
          <a:fillToRect l="15000" t="15000" r="100000" b="100000"/>
        </a:path>
      </a:gradFill>
    </a:fillStyleLst>
    <a:lnStyleLst>
      <a:ln w="15875" cap="flat" cmpd="sng" algn="ctr">
        <a:solidFill>
          <a:schemeClr val="phClr"/>
        </a:solidFill>
        <a:prstDash val="solid"/>
      </a:ln>
      <a:ln w="22225" cap="flat" cmpd="sng" algn="ctr">
        <a:solidFill>
          <a:schemeClr val="phClr"/>
        </a:solidFill>
        <a:prstDash val="solid"/>
      </a:ln>
      <a:ln w="34925" cap="flat" cmpd="sng" algn="ctr">
        <a:solidFill>
          <a:schemeClr val="phClr"/>
        </a:solidFill>
        <a:prstDash val="solid"/>
      </a:ln>
    </a:lnStyleLst>
    <a:effectStyleLst>
      <a:effectStyle>
        <a:effectLst>
          <a:outerShdw blurRad="50800" dist="12700" dir="5280000" rotWithShape="0">
            <a:srgbClr val="000000">
              <a:alpha val="40000"/>
            </a:srgbClr>
          </a:outerShdw>
        </a:effectLst>
      </a:effectStyle>
      <a:effectStyle>
        <a:effectLst>
          <a:outerShdw blurRad="38100" dist="38100" dir="5400000" rotWithShape="0">
            <a:srgbClr val="000000">
              <a:alpha val="35000"/>
            </a:srgbClr>
          </a:outerShdw>
        </a:effectLst>
      </a:effectStyle>
      <a:effectStyle>
        <a:effectLst>
          <a:outerShdw blurRad="38100" dist="38100" dir="5400000" rotWithShape="0">
            <a:srgbClr val="000000">
              <a:alpha val="35000"/>
            </a:srgbClr>
          </a:outerShdw>
        </a:effectLst>
        <a:scene3d>
          <a:camera prst="orthographicFront">
            <a:rot lat="0" lon="0" rev="0"/>
          </a:camera>
          <a:lightRig rig="brightRoom" dir="tl"/>
        </a:scene3d>
        <a:sp3d contourW="12700">
          <a:bevelT w="31750" h="12700"/>
          <a:contourClr>
            <a:schemeClr val="phClr"/>
          </a:contourClr>
        </a:sp3d>
      </a:effectStyle>
    </a:effectStyleLst>
    <a:bgFillStyleLst>
      <a:solidFill>
        <a:schemeClr val="phClr"/>
      </a:solidFill>
      <a:gradFill rotWithShape="1">
        <a:gsLst>
          <a:gs pos="0">
            <a:schemeClr val="phClr">
              <a:tint val="93000"/>
            </a:schemeClr>
          </a:gs>
          <a:gs pos="100000">
            <a:schemeClr val="phClr">
              <a:shade val="55000"/>
            </a:schemeClr>
          </a:gs>
        </a:gsLst>
        <a:lin ang="5400000" scaled="1"/>
      </a:gradFill>
      <a:blipFill rotWithShape="1">
        <a:blip xmlns:r="http://schemas.openxmlformats.org/officeDocument/2006/relationships" r:embed="rId1">
          <a:duotone>
            <a:schemeClr val="phClr">
              <a:shade val="20000"/>
              <a:satMod val="350000"/>
              <a:lumMod val="125000"/>
            </a:schemeClr>
            <a:schemeClr val="phClr">
              <a:tint val="90000"/>
              <a:satMod val="250000"/>
            </a:schemeClr>
          </a:duotone>
        </a:blip>
        <a:stretch>
          <a:fillRect/>
        </a:stretch>
      </a:blip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6229</Words>
  <Characters>8108</Characters>
  <Lines>0</Lines>
  <Paragraphs>0</Paragraphs>
  <TotalTime>3</TotalTime>
  <ScaleCrop>false</ScaleCrop>
  <LinksUpToDate>false</LinksUpToDate>
  <CharactersWithSpaces>8341</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2021-01-07T13:36:00Z</dcterms:created>
  <dc:creator>Administrator</dc:creator>
  <cp:lastModifiedBy>Administrator</cp:lastModifiedBy>
  <cp:lastPrinted>2023-01-31T01:01:36Z</cp:lastPrinted>
  <dcterms:modified xsi:type="dcterms:W3CDTF">2023-01-31T01:02:11Z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A9C91F5237BD4A7BA5E72E647598B9C3</vt:lpwstr>
  </property>
</Properties>
</file>